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CB" w:rsidRDefault="005B3BCB" w:rsidP="005B3BCB">
      <w:pPr>
        <w:pStyle w:val="Heading2"/>
        <w:rPr>
          <w:rFonts w:ascii="Georgia" w:hAnsi="Georgia"/>
          <w:color w:val="505050"/>
        </w:rPr>
      </w:pPr>
      <w:r>
        <w:rPr>
          <w:rFonts w:ascii="Georgia" w:hAnsi="Georgia"/>
          <w:color w:val="505050"/>
        </w:rPr>
        <w:t>Abstract</w:t>
      </w:r>
    </w:p>
    <w:p w:rsidR="005B3BCB" w:rsidRDefault="005B3BCB" w:rsidP="005B3BCB">
      <w:pPr>
        <w:pStyle w:val="NormalWeb"/>
        <w:spacing w:before="0" w:beforeAutospacing="0" w:after="0" w:afterAutospacing="0"/>
        <w:rPr>
          <w:rFonts w:ascii="Georgia" w:hAnsi="Georgia"/>
          <w:color w:val="2E2E2E"/>
          <w:sz w:val="27"/>
          <w:szCs w:val="27"/>
        </w:rPr>
      </w:pPr>
      <w:r>
        <w:rPr>
          <w:rFonts w:ascii="Georgia" w:hAnsi="Georgia"/>
          <w:color w:val="2E2E2E"/>
          <w:sz w:val="27"/>
          <w:szCs w:val="27"/>
        </w:rPr>
        <w:t>In the current paper, the effect of an inclined slotted plate-fin mini-channel heat sink with triangular pins on laminar </w:t>
      </w:r>
      <w:hyperlink r:id="rId4" w:tooltip="Learn more about convection heat transfer from ScienceDirect's AI-generated Topic Pages" w:history="1">
        <w:r>
          <w:rPr>
            <w:rStyle w:val="Hyperlink"/>
            <w:rFonts w:ascii="Georgia" w:hAnsi="Georgia"/>
            <w:color w:val="2E2E2E"/>
            <w:sz w:val="27"/>
            <w:szCs w:val="27"/>
          </w:rPr>
          <w:t>convection heat transfer</w:t>
        </w:r>
      </w:hyperlink>
      <w:r>
        <w:rPr>
          <w:rFonts w:ascii="Georgia" w:hAnsi="Georgia"/>
          <w:color w:val="2E2E2E"/>
          <w:sz w:val="27"/>
          <w:szCs w:val="27"/>
        </w:rPr>
        <w:t> and fluid flow was numerically investigated using a </w:t>
      </w:r>
      <w:hyperlink r:id="rId5" w:tooltip="Learn more about conjugate heat transfer from ScienceDirect's AI-generated Topic Pages" w:history="1">
        <w:r>
          <w:rPr>
            <w:rStyle w:val="Hyperlink"/>
            <w:rFonts w:ascii="Georgia" w:hAnsi="Georgia"/>
            <w:color w:val="2E2E2E"/>
            <w:sz w:val="27"/>
            <w:szCs w:val="27"/>
          </w:rPr>
          <w:t>conjugate heat transfer</w:t>
        </w:r>
      </w:hyperlink>
      <w:r>
        <w:rPr>
          <w:rFonts w:ascii="Georgia" w:hAnsi="Georgia"/>
          <w:color w:val="2E2E2E"/>
          <w:sz w:val="27"/>
          <w:szCs w:val="27"/>
        </w:rPr>
        <w:t> model. To optimize the hydro-thermal performance of the heat sink, a </w:t>
      </w:r>
      <w:hyperlink r:id="rId6" w:tooltip="Learn more about parametric study from ScienceDirect's AI-generated Topic Pages" w:history="1">
        <w:r>
          <w:rPr>
            <w:rStyle w:val="Hyperlink"/>
            <w:rFonts w:ascii="Georgia" w:hAnsi="Georgia"/>
            <w:color w:val="2E2E2E"/>
            <w:sz w:val="27"/>
            <w:szCs w:val="27"/>
          </w:rPr>
          <w:t>parametric study</w:t>
        </w:r>
      </w:hyperlink>
      <w:r>
        <w:rPr>
          <w:rFonts w:ascii="Georgia" w:hAnsi="Georgia"/>
          <w:color w:val="2E2E2E"/>
          <w:sz w:val="27"/>
          <w:szCs w:val="27"/>
        </w:rPr>
        <w:t> on the geometric design of the slots and pins were carried out. The study was performed by varying the height of the inclined slot, the angle of the slot, and the position of the pin with respect to slot leading edge. The </w:t>
      </w:r>
      <w:hyperlink r:id="rId7" w:tooltip="Learn more about Reynolds number from ScienceDirect's AI-generated Topic Pages" w:history="1">
        <w:r>
          <w:rPr>
            <w:rStyle w:val="Hyperlink"/>
            <w:rFonts w:ascii="Georgia" w:hAnsi="Georgia"/>
            <w:color w:val="2E2E2E"/>
            <w:sz w:val="27"/>
            <w:szCs w:val="27"/>
          </w:rPr>
          <w:t>Reynolds number</w:t>
        </w:r>
      </w:hyperlink>
      <w:r>
        <w:rPr>
          <w:rFonts w:ascii="Georgia" w:hAnsi="Georgia"/>
          <w:color w:val="2E2E2E"/>
          <w:sz w:val="27"/>
          <w:szCs w:val="27"/>
        </w:rPr>
        <w:t> was ranged from 100 to 1600. The </w:t>
      </w:r>
      <w:hyperlink r:id="rId8" w:tooltip="Learn more about CFD from ScienceDirect's AI-generated Topic Pages" w:history="1">
        <w:r>
          <w:rPr>
            <w:rStyle w:val="Hyperlink"/>
            <w:rFonts w:ascii="Georgia" w:hAnsi="Georgia"/>
            <w:color w:val="2E2E2E"/>
            <w:sz w:val="27"/>
            <w:szCs w:val="27"/>
          </w:rPr>
          <w:t>CFD</w:t>
        </w:r>
      </w:hyperlink>
      <w:r>
        <w:rPr>
          <w:rFonts w:ascii="Georgia" w:hAnsi="Georgia"/>
          <w:color w:val="2E2E2E"/>
          <w:sz w:val="27"/>
          <w:szCs w:val="27"/>
        </w:rPr>
        <w:t> results showed that the full height slot with an inclination angle of 55° enhanced the </w:t>
      </w:r>
      <w:hyperlink r:id="rId9" w:tooltip="Learn more about Nusselt number from ScienceDirect's AI-generated Topic Pages" w:history="1">
        <w:r>
          <w:rPr>
            <w:rStyle w:val="Hyperlink"/>
            <w:rFonts w:ascii="Georgia" w:hAnsi="Georgia"/>
            <w:color w:val="2E2E2E"/>
            <w:sz w:val="27"/>
            <w:szCs w:val="27"/>
          </w:rPr>
          <w:t>Nusselt number</w:t>
        </w:r>
      </w:hyperlink>
      <w:r>
        <w:rPr>
          <w:rFonts w:ascii="Georgia" w:hAnsi="Georgia"/>
          <w:color w:val="2E2E2E"/>
          <w:sz w:val="27"/>
          <w:szCs w:val="27"/>
        </w:rPr>
        <w:t> and the hydrothermal performance factor (JF) up to 1.5 and 1.43, respectively, in comparison with the simple mini-heat sink. Moreover, the Nusselt number and JF factor of the heat sink with using both slots and pins outperformed the straight channel by about 1.84 and 1.54, respectively.</w:t>
      </w:r>
    </w:p>
    <w:p w:rsidR="00F41A14" w:rsidRPr="005B3BCB" w:rsidRDefault="00F41A14" w:rsidP="005B3BCB">
      <w:bookmarkStart w:id="0" w:name="_GoBack"/>
      <w:bookmarkEnd w:id="0"/>
    </w:p>
    <w:sectPr w:rsidR="00F41A14" w:rsidRPr="005B3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5912EB"/>
    <w:rsid w:val="005B3BCB"/>
    <w:rsid w:val="00635894"/>
    <w:rsid w:val="00647EB9"/>
    <w:rsid w:val="007A01DA"/>
    <w:rsid w:val="00810B19"/>
    <w:rsid w:val="00997A7D"/>
    <w:rsid w:val="00A105BC"/>
    <w:rsid w:val="00B51500"/>
    <w:rsid w:val="00C94705"/>
    <w:rsid w:val="00D05DDE"/>
    <w:rsid w:val="00DD443E"/>
    <w:rsid w:val="00E044ED"/>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computational-fluid-dynamics" TargetMode="External"/><Relationship Id="rId3" Type="http://schemas.openxmlformats.org/officeDocument/2006/relationships/webSettings" Target="webSettings.xml"/><Relationship Id="rId7" Type="http://schemas.openxmlformats.org/officeDocument/2006/relationships/hyperlink" Target="https://www.sciencedirect.com/topics/engineering/reynolds-nu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parametric-study" TargetMode="External"/><Relationship Id="rId11" Type="http://schemas.openxmlformats.org/officeDocument/2006/relationships/theme" Target="theme/theme1.xml"/><Relationship Id="rId5" Type="http://schemas.openxmlformats.org/officeDocument/2006/relationships/hyperlink" Target="https://www.sciencedirect.com/topics/engineering/conjugate-convective-heat-transfer" TargetMode="External"/><Relationship Id="rId10" Type="http://schemas.openxmlformats.org/officeDocument/2006/relationships/fontTable" Target="fontTable.xml"/><Relationship Id="rId4" Type="http://schemas.openxmlformats.org/officeDocument/2006/relationships/hyperlink" Target="https://www.sciencedirect.com/topics/engineering/convection-heat-transfer" TargetMode="External"/><Relationship Id="rId9" Type="http://schemas.openxmlformats.org/officeDocument/2006/relationships/hyperlink" Target="https://www.sciencedirect.com/topics/engineering/nusselt-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1718</Characters>
  <Application>Microsoft Office Word</Application>
  <DocSecurity>0</DocSecurity>
  <Lines>14</Lines>
  <Paragraphs>4</Paragraphs>
  <ScaleCrop>false</ScaleCrop>
  <Company>SACC</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29</cp:revision>
  <dcterms:created xsi:type="dcterms:W3CDTF">2022-10-20T14:48:00Z</dcterms:created>
  <dcterms:modified xsi:type="dcterms:W3CDTF">2022-10-20T15:47:00Z</dcterms:modified>
</cp:coreProperties>
</file>