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0D0C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ascii="TimesNewRoman" w:hAnsi="TimesNewRoman" w:cs="Times New Roman"/>
          <w:b/>
          <w:bCs/>
          <w:sz w:val="24"/>
          <w:szCs w:val="24"/>
          <w:lang w:eastAsia="en-US"/>
        </w:rPr>
        <w:t xml:space="preserve">Assessment of some serological tests for the diagnosis of Acute human </w:t>
      </w:r>
      <w:r w:rsidRPr="00154430">
        <w:rPr>
          <w:rFonts w:ascii="TimesNewRoman" w:hAnsi="TimesNewRoman" w:cs="Times New Roman"/>
          <w:b/>
          <w:bCs/>
          <w:i/>
          <w:iCs/>
          <w:sz w:val="24"/>
          <w:szCs w:val="24"/>
          <w:lang w:eastAsia="en-US"/>
        </w:rPr>
        <w:t>Brucellosis</w:t>
      </w:r>
      <w:r w:rsidRPr="00154430">
        <w:rPr>
          <w:rFonts w:ascii="TimesNewRoman" w:hAnsi="TimesNewRoman" w:cs="Times New Roman"/>
          <w:b/>
          <w:bCs/>
          <w:i/>
          <w:iCs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 xml:space="preserve">Saleem </w:t>
      </w:r>
      <w:proofErr w:type="spell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O.</w:t>
      </w:r>
      <w:proofErr w:type="gram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G.Al</w:t>
      </w:r>
      <w:proofErr w:type="spellEnd"/>
      <w:proofErr w:type="gramEnd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-Mawla (1), Rana H .H .Al-</w:t>
      </w:r>
      <w:proofErr w:type="spell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ubaid</w:t>
      </w:r>
      <w:proofErr w:type="spellEnd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 xml:space="preserve"> (2),</w:t>
      </w:r>
      <w:proofErr w:type="spell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Maisam</w:t>
      </w:r>
      <w:proofErr w:type="spellEnd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Kh.Al-Anee</w:t>
      </w:r>
      <w:proofErr w:type="spellEnd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 xml:space="preserve"> (3), &amp; Sahar</w:t>
      </w:r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>Kh.Al-Anee</w:t>
      </w:r>
      <w:proofErr w:type="spellEnd"/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t xml:space="preserve"> (4)</w:t>
      </w:r>
      <w:r w:rsidRPr="00154430">
        <w:rPr>
          <w:rFonts w:ascii="TimesNewRoman" w:hAnsi="TimesNewRoman" w:cs="Times New Roman"/>
          <w:b/>
          <w:bCs/>
          <w:sz w:val="22"/>
          <w:szCs w:val="22"/>
          <w:lang w:eastAsia="en-US"/>
        </w:rPr>
        <w:br/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Ministry Of Heath /Al-Anbar Health Directory /Maternity And Child Teaching Hospital In Ramadi (1),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br/>
        <w:t>(4) Dept Of Basic Sciences /College Of Dentistry / Al- Anbar University. (2), (3)- Iraq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ABSTRACT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Brucellosis is a public health problem in many developing countries including Iraq. The most reliable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diagnosis of an infectious disease is confirmed by isolation of its pathogen by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culture ,but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It is well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known that culture for 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Brucella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is relatively difficult, time consuming and very hazardous for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laboratory workers therefore it is reasonable to use serological tests for routine diagnosis of this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important disease in human patients . In order to choose and evaluate the most applicable test in term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of speed of performance, and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accuracy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three serological tests were assayed: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Rose Bengal plate test (RBPT) , Modified Rose Bengal with 2ME ,and Standard tube agglutination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(STAT) for Brucellosis. The fourth test assayed was 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anti brucella- IgM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by Enzyme-linked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immunossorbant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assay (ELISA) which was used as a referent test to compare the results of the above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tests with it for its high specificity and sensitivity.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Blood samples were obtained from 210 patients who were highly suspected of having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Brucellosis .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The above 4 serological tests were performed on all serum samples . Out of the total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samples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118(56.2%) gave positive results by Roes Bengal plate test (RBPT), 58(27.6%) by 2ME , 130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(61.9%) by STAT ,and 70(33.3%) by Elisa. All negative cases by RBPT gave negative results by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2ME. Twelve samples of negative results by RBPT and 2ME were found to be positive by STAT 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sensitivity of RBPT ,2ME ,and STAT were found to be 100%,82%,and 100% respectively ,while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specificity of these three serological tests were found to be 74%,82%,and 97% respectively 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compared with the results of </w:t>
      </w:r>
      <w:proofErr w:type="spellStart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anti Brucella</w:t>
      </w:r>
      <w:proofErr w:type="spellEnd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 –IgM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by ELISA 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 xml:space="preserve">Key words: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Brucellosis , Serodiagnosis , Rose Bengal , ELISA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b/>
          <w:bCs/>
          <w:sz w:val="20"/>
          <w:szCs w:val="20"/>
          <w:rtl/>
          <w:lang w:eastAsia="en-US"/>
        </w:rPr>
        <w:t>الملخص باللغة العربية</w:t>
      </w:r>
      <w:r w:rsidRPr="00154430">
        <w:rPr>
          <w:rFonts w:ascii="ArabicTransparent" w:hAnsi="ArabicTransparent" w:cs="Times New Roman"/>
          <w:b/>
          <w:bCs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تعد حمى مالطا من المشاكل الصحية المهمة في الدول النامية بضمنها العراق. إن من أفضل الطرق لتشخيص المسببات المرضية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البكتيرية بشكل عام هو الزرع البكتيري ولكن من المعروف ان استنبات الجرثومة </w:t>
      </w:r>
      <w:proofErr w:type="spellStart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المسببه</w:t>
      </w:r>
      <w:proofErr w:type="spellEnd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 لحمى مالطا يتميز بصعوبة نسبية إضافة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إلى انه يستغرق وقتا طويلا كما أن فيه خطورة عالية على العاملين في المختبر وعليه فقد صممت الدراسة الحالية بهدف تقييم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فاعلية ثلاث طرق مصلية لتشخيص المرض هي الفحص المباشر للمصل باستعمال طريقة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Rose Bengal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والطريقة المحورة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بإضافة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2ME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وتخفيف الأنابيب القياسي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STAT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وإجراء فحص الأجسام المضادة النوعية </w:t>
      </w:r>
      <w:proofErr w:type="spellStart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anti Brucella</w:t>
      </w:r>
      <w:proofErr w:type="spellEnd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 –IgM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بطريقة </w:t>
      </w:r>
      <w:proofErr w:type="spellStart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الاليزا</w:t>
      </w:r>
      <w:proofErr w:type="spellEnd"/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لغرض مقارنة النتائج به وتقييم مدى الاستفادة من هذه الفحوص لتشخيص المرض دون الرجوع إلى الزرع . تم جمع نماذج دم من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210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مريض يشتبه بإصابتهم بحمى مالطا وأجريت الفحوص المصلية الأربعة على كافة نماذج مصل </w:t>
      </w:r>
      <w:proofErr w:type="gramStart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الدم .</w:t>
      </w:r>
      <w:proofErr w:type="gramEnd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 بينت الدراسة الحالية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أن من بين المجموع الكلي للعينات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 xml:space="preserve"> ,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118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عينة أعطت نتائج ايجابية باستخدام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Rose Bengal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58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بطريقة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2ME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62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عينة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بطريقة تقنية </w:t>
      </w:r>
      <w:proofErr w:type="spellStart"/>
      <w:proofErr w:type="gramStart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الاليزا،اما</w:t>
      </w:r>
      <w:proofErr w:type="spellEnd"/>
      <w:proofErr w:type="gramEnd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 بالنسبة الى فحص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STAT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فقد اعطت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12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حالة نتيجة موجبة رغم انها كانت سالبة في الفحصين السابقين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مما يعطي هذا الفحص أهميته . تبين ان حساسية الفحوص الثلاثة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RBPT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2ME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>%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100 STAT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82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و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>% %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100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على التوالي ونوعيتها 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>%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74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>%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82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و </w:t>
      </w:r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>%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97</w:t>
      </w:r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 xml:space="preserve">على التوالي بالمقارنة مع نتائج </w:t>
      </w:r>
      <w:proofErr w:type="spellStart"/>
      <w:r w:rsidRPr="00154430">
        <w:rPr>
          <w:rFonts w:ascii="ArabicTransparent" w:hAnsi="ArabicTransparent" w:cs="Times New Roman"/>
          <w:sz w:val="20"/>
          <w:szCs w:val="20"/>
          <w:rtl/>
          <w:lang w:eastAsia="en-US"/>
        </w:rPr>
        <w:t>الاليزا</w:t>
      </w:r>
      <w:proofErr w:type="spellEnd"/>
      <w:r w:rsidRPr="00154430">
        <w:rPr>
          <w:rFonts w:ascii="ArabicTransparent" w:hAnsi="ArabicTransparent" w:cs="Times New Roman"/>
          <w:sz w:val="20"/>
          <w:szCs w:val="20"/>
          <w:lang w:eastAsia="en-US"/>
        </w:rPr>
        <w:t xml:space="preserve"> .</w:t>
      </w:r>
      <w:r w:rsidRPr="00154430">
        <w:rPr>
          <w:rFonts w:cs="Times New Roman"/>
          <w:color w:val="auto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0"/>
          <w:szCs w:val="20"/>
          <w:lang w:eastAsia="en-US"/>
        </w:rPr>
        <w:t xml:space="preserve">International Journal for Sciences and Technology Vol. 8, No. 1, March 2013 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t>37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INTRODUCTION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Brucellosis is a chronic infection in animals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mainly localized in reproductive organs (male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female),and are shed in in milk and urine.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Transmission to humans usually occurs either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through direct contact with infected animal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tissues or ingestion of unpasteurized milk or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milk products. Human to human transmission 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rare (1,2).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Human brucellosis is an infectious disease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worldwide importance .Due to the wide spectrum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manifestations of this disease, its diagnosis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cannot be made solely on clinical grounds and it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always essential to perform bacteriological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serological tests (3).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This disease is characterized by acute ,chronic 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sub acute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, localized and relapsing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arthralagia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the main clinical features are undulating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fever ,headache ,night sweats ,fatigue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anorexia (4).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diagnosis of brucellosis is based on clinical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features and the results of laboratory tests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lastRenderedPageBreak/>
        <w:t>(5).The common serological test used for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to brucellosis is Rose Bengal Plate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(RBPT) based on agglutination of colored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particulate antigen (Killed Brucella organisms )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by the antibodies present in the patient’s serum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.Although it is a simple ,cheap and effective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, the RBPT is generally considered to be less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sensitive than other tests like standard tube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agglutination test (STAT),complement fixation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test (CFT)and enzyme linked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immunosorbant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assay ( Elisa).Elisa has been claimed to be 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good screening test whether used alone or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combination with the (RBPT) (6). the standard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tube 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Brucella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agglutination test (STAT) except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for the addition of 2ME to a final concentration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(0.05 M) in each agglutination tube .The 2ME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disrupt disulfide bonds ,making immunoglobulin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(IgM) inactive and permitting only 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Brucella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agglutination by immunoglobulin IgM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agglutinating antibodies that are resistant to 2ME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(7).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aim of the present study was to assess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validity of 3 serological methods (RBPT ,2ME 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STAT ) in the diagnosis of acute human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brucellosis in comparison to the results of </w:t>
      </w:r>
      <w:proofErr w:type="spellStart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antiBrucella</w:t>
      </w:r>
      <w:proofErr w:type="spellEnd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 – IgM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by ELISA 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MATERIALS AND METHODS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Blood samples were obtained from 210 patients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who were highly suspected of having Brucellosis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.Both genders were included .Ages of patients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ranged from 10 to 65 years .All blood samples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were centrifuged to get serum , and all serum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samples were subjected to 4 serological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diagnostic methods including Rose Bengal Plate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Test ( RBPT),2-Mercaptoethanol test (2ME)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,Standard Tube agglutination Test (STAT),and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Anti-Brucella-IgM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by Elisa . Tests were done 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described by (8-10).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Standard Tube Agglutination was performed 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described by (11) as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fellows :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 series of 10 test tubes were placed in a rack,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then 0.9ml saline was delivered in the first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test tube and 0.5ml in each of the remaining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tube. After that, 0.1ml of the tested serum was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added to the first test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tube .After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mixing ,0.5ml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the diluted serum was transferred to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second test tube . Then 0.5ml diluted serum was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transferred from the second test tube to the third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test tube, and so on until the contents of tube 10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were mixed, from which 0.5ml diluted serum was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discarded. The resulting dilutions in the 10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tubes ranged from 1:10 in tube no. 1 to 1:5120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tube no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10 .As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an antigen control another tube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was added to the series containing 0.5ml saline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.Then 0.5ml </w:t>
      </w:r>
      <w:proofErr w:type="spellStart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B.abortus</w:t>
      </w:r>
      <w:proofErr w:type="spellEnd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antigen diluted 1:50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saline , was added to each tube to make a final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dilution varying from 1:20 to 1:10240 . After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shaking the rack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well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it was placed in a 37˚C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water bath for 48 hours .The same procedure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was repeated at the same time for positive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negative controls.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Sensitivity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specificity 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accuracy of each test were calculated as follows :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sensitivity = no. of True positive/(no. of true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+ no. of false negative )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specificity = no. of true negative /(no. of false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+no. of true negative 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RESULTS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The total number of patients enrolled in the study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was 210 . The ratio of males to females was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58/60. Ages of patient ranged from 10 – 65 years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.The ratio of patients from urban to rural area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was 44/74.Of the total serum samples ,118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samples gave positive results by RBPT as shown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in Table 1.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Out of 118 positive cases with different titers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RBPT , only 58(49.1%) were found to be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by 2Me and the remaining 50.9% gave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negative results ( Table 2).</w:t>
      </w:r>
      <w:r w:rsidRPr="00154430">
        <w:rPr>
          <w:rFonts w:cs="Times New Roman"/>
          <w:color w:val="auto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0"/>
          <w:szCs w:val="20"/>
          <w:lang w:eastAsia="en-US"/>
        </w:rPr>
        <w:t xml:space="preserve">International Journal for Sciences and Technology Vol. 8, No. 1, March 2013 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t>38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Table (1) :Distribution of positive results by RBPT according to gender , residency and age groups</w:t>
      </w: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br/>
        <w:t>Table (2) : Results of 2 ME in comparison to RBPT titers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005"/>
        <w:gridCol w:w="2385"/>
        <w:gridCol w:w="1770"/>
      </w:tblGrid>
      <w:tr w:rsidR="00154430" w:rsidRPr="00154430" w14:paraId="1F004F97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1A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RBPT titer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D4E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994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Positive by 2 ME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464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Negative by 2 ME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</w:tr>
      <w:tr w:rsidR="00154430" w:rsidRPr="00154430" w14:paraId="1050B72D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B0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1/320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F33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544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27(73)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223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10(27)</w:t>
            </w:r>
          </w:p>
        </w:tc>
      </w:tr>
      <w:tr w:rsidR="00154430" w:rsidRPr="00154430" w14:paraId="7C078479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F91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1/160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971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B9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18(75)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14F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6(25)</w:t>
            </w:r>
          </w:p>
        </w:tc>
      </w:tr>
      <w:tr w:rsidR="00154430" w:rsidRPr="00154430" w14:paraId="25C09DD2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050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B25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3ED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13(22.8)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C7E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44(77.2)</w:t>
            </w:r>
          </w:p>
        </w:tc>
      </w:tr>
      <w:tr w:rsidR="00154430" w:rsidRPr="00154430" w14:paraId="22059079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3E0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Total positive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84D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F93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58(49.1)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3C9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60(50.9)</w:t>
            </w:r>
          </w:p>
        </w:tc>
      </w:tr>
      <w:tr w:rsidR="00154430" w:rsidRPr="00154430" w14:paraId="6C968354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26D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Negative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828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92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BFF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A29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92(100)</w:t>
            </w:r>
          </w:p>
        </w:tc>
      </w:tr>
    </w:tbl>
    <w:p w14:paraId="653917FD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ascii="TimesNewRoman" w:hAnsi="TimesNewRoman" w:cs="Times New Roman"/>
          <w:sz w:val="20"/>
          <w:szCs w:val="20"/>
          <w:lang w:eastAsia="en-US"/>
        </w:rPr>
        <w:t>Tube agglutination tests were standardized into 9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dilutions starting in 1/20 to 1/5120 as shown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Table (3) .All positive cases by RBPT gave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results by STAT in different titers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addition to 12 cases that were negative by RBPT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were found to be positive by STAT.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Among the total positive cases by RBPT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62(52.5%) gave positive results by Elisa while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all negative cases by RBPT were found to be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also negative by Elisa( Table 4 ).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All positive cases by 2ME gave positive results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by ELISA while 3 of negative cases gave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results by ELISA . Among 130 positive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cases by STAT , only 70(53.8%) were found to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be positive by ELISA while all negative cases by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STAT were found to be also negative by ELISA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(Table 5 ).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validity of the above three serological tests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in comparison with Anti Brucella – IgM was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calculated as %sensitivity, %specificity 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%accuracy as shown in table 6 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DISCUSSION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Brucellosis has a worldwide distribution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remains a major problem in humans and animals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in Middle Eastern and Mediterranean countries 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where the prevalence is high (12).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Isolation and identification of the causative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agents remains the gold standard in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of infectious diseases , however ,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isolation of </w:t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Brucella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bacteria from blood 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difficult and time consuming and the rate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success range from 47- 94% depending on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method used for cultivation and period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incubation (13,14).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Furthermore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the clinical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of Brucellosis is difficult because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disease affect many organs and the symptoms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may be non- specific (15).Particular problems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for the final diagnosis are inadequate data on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case history, course of the disease, chronic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period, infections caused by microorganisms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which are alike in terms of antigens, and also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eventual treatment with antibiotics. Due to 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number of subjective and objective problems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which are the result of pathogen isolation, which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is not even possible in the most of the cases, it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takes a lot of time to isolate the pathogens even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when some of the modern microbiologic methods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are applied. If all of this is taken into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consideration, immunological methods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diagnosis are obligatory with a good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reason (16).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IgM antibodies are present in acute brucellosis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it potentially aid in the diagnosis of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disease (17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) .In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the present study , we evaluated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diagnostic value of three serological tests to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be compared to the results obtained by </w:t>
      </w:r>
      <w:proofErr w:type="spellStart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>antiBrucella</w:t>
      </w:r>
      <w:proofErr w:type="spellEnd"/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 – IgM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by ELISA for its high sensitivity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, specificity , and accuracy in the diagnosis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acute Brucellosis. Many investigators proved that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ELISA is the most sensitive and specific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serological test in the diagnosis of acute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and it can be used as a referent test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(18-20).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983"/>
        <w:gridCol w:w="1103"/>
        <w:gridCol w:w="1286"/>
        <w:gridCol w:w="1238"/>
        <w:gridCol w:w="974"/>
        <w:gridCol w:w="967"/>
      </w:tblGrid>
      <w:tr w:rsidR="00154430" w:rsidRPr="00154430" w14:paraId="3F105512" w14:textId="77777777" w:rsidTr="00154430">
        <w:trPr>
          <w:gridAfter w:val="2"/>
          <w:wAfter w:w="2265" w:type="dxa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231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Age groups 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  <w:t>in years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35E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RBPT titer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6F4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No. of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  <w:t>patients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011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Gender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  <w:t>Male/female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74F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Residency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  <w:t>Urban/rural</w:t>
            </w:r>
          </w:p>
        </w:tc>
      </w:tr>
      <w:tr w:rsidR="00154430" w:rsidRPr="00154430" w14:paraId="1EAFCB5A" w14:textId="77777777" w:rsidTr="00154430">
        <w:trPr>
          <w:gridAfter w:val="2"/>
          <w:wAfter w:w="2265" w:type="dxa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65B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1/320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C11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1/160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DA3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1/80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14:paraId="213A31D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095D24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154430" w:rsidRPr="00154430" w14:paraId="7B28A004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F6F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10-20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2F3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27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D70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12/15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DC8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8/19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3F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12(44.5)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DF0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5(18.5)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339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10(37)</w:t>
            </w:r>
          </w:p>
        </w:tc>
      </w:tr>
      <w:tr w:rsidR="00154430" w:rsidRPr="00154430" w14:paraId="4EE1AE96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AA1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21-30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4EA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26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306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13/13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5B9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10/16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E34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8(30.8)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8A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6(23)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C8D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12(46.2)</w:t>
            </w:r>
          </w:p>
        </w:tc>
      </w:tr>
      <w:tr w:rsidR="00154430" w:rsidRPr="00154430" w14:paraId="5234B788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45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31-40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BAE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D35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17/16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470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14/19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39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11(33.4)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892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8(24.2)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8E3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14(42.4)</w:t>
            </w:r>
          </w:p>
        </w:tc>
      </w:tr>
      <w:tr w:rsidR="00154430" w:rsidRPr="00154430" w14:paraId="77ADB407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AC0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41-50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722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19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E63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7/12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674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6/13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06F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3(15.8)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660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4(21)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EF6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12(63.2)</w:t>
            </w:r>
          </w:p>
        </w:tc>
      </w:tr>
      <w:tr w:rsidR="00154430" w:rsidRPr="00154430" w14:paraId="05A45950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758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Arial" w:hAnsi="Arial" w:cs="Arial"/>
                <w:sz w:val="18"/>
                <w:szCs w:val="18"/>
                <w:lang w:eastAsia="en-US"/>
              </w:rPr>
              <w:t>&gt;</w:t>
            </w: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18D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6EB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9/4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1E3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6/7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5B7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3(23)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2B3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1(7.7)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87B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9(69.2)</w:t>
            </w:r>
          </w:p>
        </w:tc>
      </w:tr>
      <w:tr w:rsidR="00154430" w:rsidRPr="00154430" w14:paraId="2A01C20E" w14:textId="77777777" w:rsidTr="0015443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F48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E2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E30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58/60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094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44/74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619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37(31.4)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1A0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24(20.3)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4FB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57(48.3)</w:t>
            </w:r>
          </w:p>
        </w:tc>
      </w:tr>
    </w:tbl>
    <w:p w14:paraId="207E5600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cs="Times New Roman"/>
          <w:color w:val="auto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0"/>
          <w:szCs w:val="20"/>
          <w:lang w:eastAsia="en-US"/>
        </w:rPr>
        <w:t xml:space="preserve">International Journal for Sciences and Technology Vol. 8, No. 1, March 2013 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t>39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Table (3</w:t>
      </w:r>
      <w:proofErr w:type="gramStart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) :</w:t>
      </w:r>
      <w:proofErr w:type="gramEnd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 xml:space="preserve"> Results of STAT titers in comparison to RBPT titers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945"/>
        <w:gridCol w:w="8055"/>
        <w:gridCol w:w="960"/>
        <w:gridCol w:w="945"/>
        <w:gridCol w:w="960"/>
        <w:gridCol w:w="945"/>
        <w:gridCol w:w="840"/>
        <w:gridCol w:w="795"/>
        <w:gridCol w:w="795"/>
        <w:gridCol w:w="780"/>
      </w:tblGrid>
      <w:tr w:rsidR="00154430" w:rsidRPr="00154430" w14:paraId="653D2845" w14:textId="77777777" w:rsidTr="00154430">
        <w:trPr>
          <w:gridAfter w:val="8"/>
          <w:wAfter w:w="7020" w:type="dxa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95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RBPT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796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A62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STST titer</w:t>
            </w:r>
          </w:p>
        </w:tc>
      </w:tr>
      <w:tr w:rsidR="00154430" w:rsidRPr="00154430" w14:paraId="0E367063" w14:textId="77777777" w:rsidTr="00154430">
        <w:trPr>
          <w:gridAfter w:val="2"/>
          <w:wAfter w:w="1575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DF0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1/20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8C2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1/40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8D7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1/80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6F3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1/160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3CD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1/320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DB7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1/640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5CC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1/1280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6F1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1/2650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C5C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1/5120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</w:tr>
      <w:tr w:rsidR="00154430" w:rsidRPr="00154430" w14:paraId="25ED3A5A" w14:textId="77777777" w:rsidTr="001544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A9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1/320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3C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47F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21(56.4)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55D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13(35.1)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497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1(2.7)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0A3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2(5.4)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B6A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C46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1D5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C43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BA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  <w:tr w:rsidR="00154430" w:rsidRPr="00154430" w14:paraId="7AB74106" w14:textId="77777777" w:rsidTr="001544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474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1/160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AD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DF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8(33.3)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344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7(29.2)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DB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5(20.8)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4D6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2(8.3)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90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DC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2(8.3)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8C5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147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D77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  <w:tr w:rsidR="00154430" w:rsidRPr="00154430" w14:paraId="31694B17" w14:textId="77777777" w:rsidTr="001544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72B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1/80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F51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1AF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5(8.8)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396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13(22.8)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8BF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10(17.5)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0D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11(19.3)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1D7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10(17.5)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FDA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8(14)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7AD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FC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D12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  <w:tr w:rsidR="00154430" w:rsidRPr="00154430" w14:paraId="42A2AE9E" w14:textId="77777777" w:rsidTr="001544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723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Total</w:t>
            </w: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br/>
              <w:t>positive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9E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038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34(28.8)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B00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33(27.9)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EAA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16(13.5)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27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15(12.7)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4CB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10(8.5)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E1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10(8.5)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0A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CC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219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  <w:tr w:rsidR="00154430" w:rsidRPr="00154430" w14:paraId="7A1E7D43" w14:textId="77777777" w:rsidTr="0015443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A8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negative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237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92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46D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E3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1(1)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E30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2(2.2)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414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2(2.2)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34A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1(1)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B76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2(2.2)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9DA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4(4.3)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D27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538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</w:tbl>
    <w:p w14:paraId="7EB867C6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Table (4</w:t>
      </w:r>
      <w:proofErr w:type="gramStart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) :</w:t>
      </w:r>
      <w:proofErr w:type="gramEnd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 xml:space="preserve"> Results of Anti-Brucella-IgM by ELISA according to RBPT titers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695"/>
        <w:gridCol w:w="2355"/>
        <w:gridCol w:w="2220"/>
      </w:tblGrid>
      <w:tr w:rsidR="00154430" w:rsidRPr="00154430" w14:paraId="2049F752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21A0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RBPT titer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B2F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92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Positive by ELISA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858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Negative by ELISA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</w:tr>
      <w:tr w:rsidR="00154430" w:rsidRPr="00154430" w14:paraId="31BAEF5A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D42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1/320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2A4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37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4D9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31(87.8)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06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6(12.2)</w:t>
            </w:r>
          </w:p>
        </w:tc>
      </w:tr>
      <w:tr w:rsidR="00154430" w:rsidRPr="00154430" w14:paraId="477062D1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1F0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1/160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D08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65E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19(79.2)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6A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5(20.8)</w:t>
            </w:r>
          </w:p>
        </w:tc>
      </w:tr>
      <w:tr w:rsidR="00154430" w:rsidRPr="00154430" w14:paraId="764001AB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CE1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1/80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D38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57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71A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12(21)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FEE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45(79)</w:t>
            </w:r>
          </w:p>
        </w:tc>
      </w:tr>
      <w:tr w:rsidR="00154430" w:rsidRPr="00154430" w14:paraId="3ED03E5A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E1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Total positive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E99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118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BCD1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62(52.5)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922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56(47.5)</w:t>
            </w:r>
          </w:p>
        </w:tc>
      </w:tr>
      <w:tr w:rsidR="00154430" w:rsidRPr="00154430" w14:paraId="542330C1" w14:textId="77777777" w:rsidTr="00154430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E34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Negative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F9C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92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139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C48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92(100)</w:t>
            </w:r>
          </w:p>
        </w:tc>
      </w:tr>
    </w:tbl>
    <w:p w14:paraId="6512416A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Table (5</w:t>
      </w:r>
      <w:proofErr w:type="gramStart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) :</w:t>
      </w:r>
      <w:proofErr w:type="gramEnd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 xml:space="preserve"> Results of 2ME and STAT as compared to Anti-Brucella-IgM by ELISA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1710"/>
      </w:tblGrid>
      <w:tr w:rsidR="00154430" w:rsidRPr="00154430" w14:paraId="33CD1495" w14:textId="77777777" w:rsidTr="0015443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F8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Test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56B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Total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D86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Positive by ELISA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3E5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Negative by ELISA</w:t>
            </w: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br/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No(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%)</w:t>
            </w:r>
          </w:p>
        </w:tc>
      </w:tr>
      <w:tr w:rsidR="00154430" w:rsidRPr="00154430" w14:paraId="7CE239DA" w14:textId="77777777" w:rsidTr="0015443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64B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Positive by 2ME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3FA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58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E9F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58(100)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18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0(0)</w:t>
            </w:r>
          </w:p>
        </w:tc>
      </w:tr>
      <w:tr w:rsidR="00154430" w:rsidRPr="00154430" w14:paraId="7EAC2AD2" w14:textId="77777777" w:rsidTr="0015443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552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Negative by 2ME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CE33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152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5F3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3(2)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91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149(98)</w:t>
            </w:r>
          </w:p>
        </w:tc>
      </w:tr>
      <w:tr w:rsidR="00154430" w:rsidRPr="00154430" w14:paraId="16D55D3F" w14:textId="77777777" w:rsidTr="0015443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ED7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Positive by STST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FE0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130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D54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70(53.8)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E5B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60(46.2)</w:t>
            </w:r>
          </w:p>
        </w:tc>
      </w:tr>
      <w:tr w:rsidR="00154430" w:rsidRPr="00154430" w14:paraId="4BF587D9" w14:textId="77777777" w:rsidTr="00154430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038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Negative by STAT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B42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80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0388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0(0)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426F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80(100)</w:t>
            </w:r>
          </w:p>
        </w:tc>
      </w:tr>
    </w:tbl>
    <w:p w14:paraId="25695C7C" w14:textId="77777777" w:rsidR="00154430" w:rsidRPr="00154430" w:rsidRDefault="00154430" w:rsidP="00154430">
      <w:pPr>
        <w:widowControl/>
        <w:bidi w:val="0"/>
        <w:ind w:firstLine="0"/>
        <w:jc w:val="left"/>
        <w:rPr>
          <w:rFonts w:cs="Times New Roman"/>
          <w:color w:val="auto"/>
          <w:sz w:val="24"/>
          <w:szCs w:val="24"/>
          <w:lang w:eastAsia="en-US"/>
        </w:rPr>
      </w:pPr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Table (6</w:t>
      </w:r>
      <w:proofErr w:type="gramStart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>) :</w:t>
      </w:r>
      <w:proofErr w:type="gramEnd"/>
      <w:r w:rsidRPr="00154430">
        <w:rPr>
          <w:rFonts w:ascii="TimesNewRoman" w:hAnsi="TimesNewRoman" w:cs="Times New Roman"/>
          <w:b/>
          <w:bCs/>
          <w:sz w:val="18"/>
          <w:szCs w:val="18"/>
          <w:lang w:eastAsia="en-US"/>
        </w:rPr>
        <w:t xml:space="preserve"> validity of RBPT , 2ME , and STAT as compared to Anti-Brucella – IgM by ELISA results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350"/>
      </w:tblGrid>
      <w:tr w:rsidR="00154430" w:rsidRPr="00154430" w14:paraId="31D3B72D" w14:textId="77777777" w:rsidTr="001544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D3E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Test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B429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% </w:t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sensitivity</w:t>
            </w:r>
            <w:proofErr w:type="gramEnd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8846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%</w:t>
            </w:r>
            <w:proofErr w:type="gramStart"/>
            <w:r w:rsidRPr="00154430">
              <w:rPr>
                <w:rFonts w:ascii="TimesNewRoman" w:hAnsi="TimesNewRoman" w:cs="Times New Roman"/>
                <w:b/>
                <w:bCs/>
                <w:sz w:val="18"/>
                <w:szCs w:val="18"/>
                <w:lang w:eastAsia="en-US"/>
              </w:rPr>
              <w:t>specificity</w:t>
            </w:r>
            <w:proofErr w:type="gramEnd"/>
          </w:p>
        </w:tc>
      </w:tr>
      <w:tr w:rsidR="00154430" w:rsidRPr="00154430" w14:paraId="376D5D2E" w14:textId="77777777" w:rsidTr="001544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19B5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RBPT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ED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A0D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74</w:t>
            </w:r>
          </w:p>
        </w:tc>
      </w:tr>
      <w:tr w:rsidR="00154430" w:rsidRPr="00154430" w14:paraId="00673488" w14:textId="77777777" w:rsidTr="001544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79FC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2ME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B54E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572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82</w:t>
            </w:r>
          </w:p>
        </w:tc>
      </w:tr>
      <w:tr w:rsidR="00154430" w:rsidRPr="00154430" w14:paraId="2A182C45" w14:textId="77777777" w:rsidTr="0015443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EEE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STAT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78FA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DB3B" w14:textId="77777777" w:rsidR="00154430" w:rsidRPr="00154430" w:rsidRDefault="00154430" w:rsidP="00154430">
            <w:pPr>
              <w:widowControl/>
              <w:bidi w:val="0"/>
              <w:ind w:firstLine="0"/>
              <w:jc w:val="left"/>
              <w:rPr>
                <w:rFonts w:cs="Times New Roman"/>
                <w:color w:val="auto"/>
                <w:sz w:val="24"/>
                <w:szCs w:val="24"/>
                <w:lang w:eastAsia="en-US"/>
              </w:rPr>
            </w:pPr>
            <w:r w:rsidRPr="00154430">
              <w:rPr>
                <w:rFonts w:ascii="TimesNewRoman" w:hAnsi="TimesNewRoman" w:cs="Times New Roman"/>
                <w:sz w:val="18"/>
                <w:szCs w:val="18"/>
                <w:lang w:eastAsia="en-US"/>
              </w:rPr>
              <w:t>97</w:t>
            </w:r>
          </w:p>
        </w:tc>
      </w:tr>
    </w:tbl>
    <w:p w14:paraId="4E2D29FC" w14:textId="7C6711A1" w:rsidR="00C5563F" w:rsidRDefault="00154430" w:rsidP="00154430">
      <w:pPr>
        <w:bidi w:val="0"/>
        <w:jc w:val="left"/>
        <w:rPr>
          <w:lang w:bidi="ar-IQ"/>
        </w:rPr>
      </w:pPr>
      <w:r w:rsidRPr="00154430">
        <w:rPr>
          <w:rFonts w:ascii="TimesNewRoman" w:hAnsi="TimesNewRoman" w:cs="Times New Roman"/>
          <w:sz w:val="20"/>
          <w:szCs w:val="20"/>
          <w:lang w:eastAsia="en-US"/>
        </w:rPr>
        <w:t>Comparing these results with classical methods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serological diagnosis, (21), who described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competitive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immunoenzyme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test (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cELISA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>) as 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more selective test for detection of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differentiation between infected and uninfected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animals in comparison to all other serological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tests, including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iELISA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>. On the basis of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analysis of the results on sensitivity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specificity of the tests applied, it was concluded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by the above researchers that the most sensitive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were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iELISA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(100 %) and it can be used as 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referent test in the diagnosis of acute cases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brucellosis </w:t>
      </w:r>
      <w:r w:rsidRPr="00154430">
        <w:rPr>
          <w:rFonts w:ascii="TimesNewRoman" w:hAnsi="TimesNewRoman" w:cs="Times New Roman"/>
          <w:color w:val="231F20"/>
          <w:sz w:val="20"/>
          <w:szCs w:val="20"/>
          <w:lang w:eastAsia="en-US"/>
        </w:rPr>
        <w:t>.</w:t>
      </w:r>
      <w:proofErr w:type="gramEnd"/>
      <w:r w:rsidRPr="00154430">
        <w:rPr>
          <w:rFonts w:ascii="TimesNewRoman" w:hAnsi="TimesNewRoman" w:cs="Times New Roman"/>
          <w:color w:val="231F20"/>
          <w:sz w:val="20"/>
          <w:szCs w:val="20"/>
          <w:lang w:eastAsia="en-US"/>
        </w:rPr>
        <w:t xml:space="preserve">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Out of the total number of cases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assayed ,118 cases gave positive result by RBPT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, only 62 cases were found to be positive by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ELISA while the remaining 56 cases were found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to be negative. Both genders were affected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patient rural area were affected more than those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from urban , these findings are supported by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many investigators (22,23).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Comparing the results of RBPT and 2ME 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27(69%) of high titer RBPT results gave positive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results by 2ME while 10 (27%) were found to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be negative , and in low titer RBPT (1⁄160 - 1⁄80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), only 18(70 %) and 1(20%) gave positive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results by 2ME respectably But despite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differences in percentage positivity , negative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results were found to be almost equal in RBPT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2ME. 2-Mercaptans (2ME) cause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cleavage of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disulphide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bonds of IgM and loss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agglutinin activity , Thus , comparisons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results obtained in the absence or presence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theses agent is often used to distinguish IgM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from IgG activity and differentiate between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early and persistent infection (24, 25), which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may explain the differences between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percentage positivity in these two methods .</w:t>
      </w:r>
      <w:r w:rsidRPr="00154430">
        <w:rPr>
          <w:rFonts w:cs="Times New Roman"/>
          <w:color w:val="auto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0"/>
          <w:szCs w:val="20"/>
          <w:lang w:eastAsia="en-US"/>
        </w:rPr>
        <w:t xml:space="preserve">International Journal for Sciences and Technology Vol. 8, No. 1, March 2013 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t>40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The present study has shown that there are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differences in the ability of the three serological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methods in detection of the specific anti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Brucella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antibodies in patient′s sera .The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majority of positive cases by RBPT gave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result by 2ME and all negative cases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by RBPT gave negative results by 2ME(Table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2),however , it was reported that 2ME can detect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the disease at 18 months after the onset of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disease because it detects IgG only (26). In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present study as shown in table 3 and 4, out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92 negative cases by RBPT were 12 cases were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found to be positive by STAT however in Elisa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All negative cases by RBPT were found to be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also negative by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Elisa .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Similar results obtained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by (27), while (22) stated that diagnosis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cannot be achieved sometimes by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STAT because of the low titer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antibodies ,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the presence of blocking antibodies 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Kostoula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i/>
          <w:iCs/>
          <w:sz w:val="20"/>
          <w:szCs w:val="20"/>
          <w:lang w:eastAsia="en-US"/>
        </w:rPr>
        <w:t xml:space="preserve">et. al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reported that Elisa is more sensitive than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STAT because Elisa detects the specific IgM or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IgG (23). On the other hand, (24) reported that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in patients with brucellosis the sensitivity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either Elisa –IgM or IgG is higher than of STAT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It is considered that a sensitive test will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determine the most true – positive patients and 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specific test will determine the most true –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negative patients</w:t>
      </w:r>
      <w:r w:rsidRPr="00154430">
        <w:rPr>
          <w:rFonts w:ascii="TimesNewRoman" w:hAnsi="TimesNewRoman" w:cs="Times New Roman"/>
          <w:sz w:val="14"/>
          <w:szCs w:val="14"/>
          <w:lang w:eastAsia="en-US"/>
        </w:rPr>
        <w:t>(28)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.In the present study ,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three serological tests were found to be sensitive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but with different specificity ,however the whole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3 serological tests are simple , inexpensive 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rapid when compared by culture , ELISA ,PCR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,and other diagnostic methods (23).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Based on the analysis of results obtained in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present study , STAT was recommended as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best serological test in the diagnosis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because it detect false negative cases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and its sensitivity and specificity was the highest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.Each of serological tests has its advantages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limitations and requires careful interpretation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advanced techniques e.g. PCR and other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molecular methods are still required to confirm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because of the complicity of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disease 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t>REFERENCES</w:t>
      </w:r>
      <w:r w:rsidRPr="00154430">
        <w:rPr>
          <w:rFonts w:ascii="TimesNewRoman" w:hAnsi="TimesNewRoman" w:cs="Times New Roman"/>
          <w:b/>
          <w:bCs/>
          <w:i/>
          <w:iCs/>
          <w:sz w:val="20"/>
          <w:szCs w:val="20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1. Richard AH,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Champe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PC, and Bruce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DF.(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2007).Microbiology 2</w:t>
      </w:r>
      <w:r w:rsidRPr="00154430">
        <w:rPr>
          <w:rFonts w:ascii="TimesNewRoman" w:hAnsi="TimesNewRoman" w:cs="Times New Roman"/>
          <w:sz w:val="14"/>
          <w:szCs w:val="14"/>
          <w:lang w:eastAsia="en-US"/>
        </w:rPr>
        <w:t xml:space="preserve">nd 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>edition.:334.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2.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Schellig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E,Diguimbaye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C,Daoud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S,Nicolet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J,Boerlin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P,Tanner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M, and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Zinsstag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J. (2003).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Brucellosis and Q-fever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seroprevalances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nomadic pastoralists and their livestock in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chad.prev.vet.med.61:279-293.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3.Godfroid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J,Cloeckaert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Liautard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JP,KohlerS,Fretin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D,Walravens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K,Garin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B,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Letesson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JJ.(2005).From the discovery of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Malta fevers agent to the discovery of a marine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mammal reservoir .brucellosis has continuously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been a reemerging zoonsis.Vet.Res.36:313-326.</w:t>
      </w:r>
      <w:r w:rsidRPr="00154430">
        <w:rPr>
          <w:rFonts w:cs="Times New Roman"/>
          <w:color w:val="auto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b/>
          <w:bCs/>
          <w:sz w:val="20"/>
          <w:szCs w:val="20"/>
          <w:lang w:eastAsia="en-US"/>
        </w:rPr>
        <w:t xml:space="preserve">International Journal for Sciences and Technology Vol. 8, No. 1, March 2013 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t>41</w:t>
      </w:r>
      <w:r w:rsidRPr="00154430">
        <w:rPr>
          <w:rFonts w:ascii="TimesNewRoman" w:hAnsi="TimesNewRoman" w:cs="Times New Roman"/>
          <w:sz w:val="24"/>
          <w:szCs w:val="24"/>
          <w:lang w:eastAsia="en-US"/>
        </w:rPr>
        <w:br/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4.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Dhand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NK,Gumber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S,Singh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BB, Aradhana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BMS, Kumar H, Sharma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DR,Singh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J,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Sandhu KS.(2005). A Study on the epidemiology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brucellosis in Punjab (India) using survey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Toolbox.Rev.Sci.Tech.24:879-885.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5.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Mainar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- Jaime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RC,MunozPM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,Miguel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MJ,GrilloMJ,Marin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CM,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Moriyon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I, and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Blasco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JM. (2005). Specificity dependence between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serological tests for diagnosing bovine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in Brucella-free farms showing false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positive serological reactions due Yersinia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enterocolitica O: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9.Can.Vet.J.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46:913-916.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6. Jacques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I,Olivier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- Bernardin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V.,and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Dubray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G.(1998).Efficacy of Elisa compared to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conventional tests (RBPT and CFT) for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diagnosis of Brucella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melitensis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infection sheep.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Vet.Microbiol.64(1):61-73.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7. Buchanan TM., Sulzer CR,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Frix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MK,and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Feldman RA.(1974).Brucellosis in the united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states ,1960-1972:an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abattoir.associated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disease.2.Diagnostic aspects .Med .53:415-426.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8.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Araj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GF, Lulu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AR.,Mustafa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MY.,and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Khateeb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MI.(1986). Evaluation of ELISA in the diagnosis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of acute and chronic brucellosis in human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beinge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.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J.Hyg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.(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Lond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>) 97:457.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9. Bettelheim KA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.,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Maskill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WJ.,and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Pearce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J.(1983). Comparison of standard tube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microagglutimation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techniques for determining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Brucella antibodies.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J.Hyg.Camb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. 90:33.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10.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Marmonier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A.,Stahl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JP., Metz A,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Micaud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M. (1979).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Ineret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et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Valeur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dela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technique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immunoenzymatique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ELISA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appliqute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on diagnostic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serologique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des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brucellosis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humanies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. Medicine et Maladies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infectieuses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.99:664.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11.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Faydi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Y, and AL-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Khlil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S.(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>1992). Laboratory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diagnosis of Brucellosis using the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slids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standard tube agglutination methods.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An.Najah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J.Res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>. 2(35):2417-2418.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12.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Teoman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Z,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Apan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M,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Yildrim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M, and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Istanbulluoglu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E. (2007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) .Seroprevalence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of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Brucellosis in Human ,Sheep ,and Cattle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Populations in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Kirikkale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(Turkey).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Turk.J.Vet.Anim.Sci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>. 31(1):75-78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13. Ruiz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J,Lorente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I, and Perez J. (2008).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of brucellosis by using blood. Oxford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Printers.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14. Ozturk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R,Mert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A, and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Kocak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F.(2002). The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diagnosis of brucellosis by use of BACTEC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9240 blood culture </w:t>
      </w:r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System .Diagn</w:t>
      </w:r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Microbiol.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Infect. Dis. 44:133-135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15. Young EJ. (2000). Brucella species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.Principles and Practice of Infectious Diseases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5th end. (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Eds.Mandell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GL, Bennett </w:t>
      </w:r>
      <w:proofErr w:type="spellStart"/>
      <w:proofErr w:type="gram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JE,Dolin</w:t>
      </w:r>
      <w:proofErr w:type="spellEnd"/>
      <w:proofErr w:type="gram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R)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Philadelphia ,Churchill Livingstone 2386-2393.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16.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Emmerzaal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A., De Wit JJ, Dijkstra T, Bakker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D, and Van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Zijderveld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FG. (2002). The Dutch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Brucella abortus monitoring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programme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for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>cattle: the impact of false-positive serological</w:t>
      </w:r>
      <w:r w:rsidRPr="00154430">
        <w:rPr>
          <w:rFonts w:ascii="TimesNewRoman" w:hAnsi="TimesNewRoman" w:cs="Times New Roman"/>
          <w:sz w:val="20"/>
          <w:szCs w:val="20"/>
          <w:lang w:eastAsia="en-US"/>
        </w:rPr>
        <w:br/>
        <w:t xml:space="preserve">reactions and </w:t>
      </w:r>
      <w:proofErr w:type="spellStart"/>
      <w:r w:rsidRPr="00154430">
        <w:rPr>
          <w:rFonts w:ascii="TimesNewRoman" w:hAnsi="TimesNewRoman" w:cs="Times New Roman"/>
          <w:sz w:val="20"/>
          <w:szCs w:val="20"/>
          <w:lang w:eastAsia="en-US"/>
        </w:rPr>
        <w:t>comparasion</w:t>
      </w:r>
      <w:proofErr w:type="spellEnd"/>
      <w:r w:rsidRPr="00154430">
        <w:rPr>
          <w:rFonts w:ascii="TimesNewRoman" w:hAnsi="TimesNewRoman" w:cs="Times New Roman"/>
          <w:sz w:val="20"/>
          <w:szCs w:val="20"/>
          <w:lang w:eastAsia="en-US"/>
        </w:rPr>
        <w:t xml:space="preserve"> of serological. J. Vet</w:t>
      </w:r>
    </w:p>
    <w:sectPr w:rsidR="00C5563F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abicTranspare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30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4430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8237A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63AF3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B17CE5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5EA372"/>
  <w15:chartTrackingRefBased/>
  <w15:docId w15:val="{0C78DC24-EB0E-4263-86C0-8F81335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2920</Words>
  <Characters>16644</Characters>
  <Application>Microsoft Office Word</Application>
  <DocSecurity>0</DocSecurity>
  <Lines>138</Lines>
  <Paragraphs>39</Paragraphs>
  <ScaleCrop>false</ScaleCrop>
  <Company/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2022-10-25T20:08:00Z</dcterms:created>
  <dcterms:modified xsi:type="dcterms:W3CDTF">2022-10-25T20:10:00Z</dcterms:modified>
</cp:coreProperties>
</file>