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bidiVisual/>
        <w:tblW w:w="10039" w:type="dxa"/>
        <w:tblInd w:w="-877" w:type="dxa"/>
        <w:tblLayout w:type="fixed"/>
        <w:tblLook w:val="04A0" w:firstRow="1" w:lastRow="0" w:firstColumn="1" w:lastColumn="0" w:noHBand="0" w:noVBand="1"/>
      </w:tblPr>
      <w:tblGrid>
        <w:gridCol w:w="3356"/>
        <w:gridCol w:w="1315"/>
        <w:gridCol w:w="2773"/>
        <w:gridCol w:w="2595"/>
      </w:tblGrid>
      <w:tr w:rsidR="004F6365" w:rsidRPr="000C1AA2" w:rsidTr="0092734F">
        <w:tc>
          <w:tcPr>
            <w:tcW w:w="3356" w:type="dxa"/>
          </w:tcPr>
          <w:p w:rsidR="004F6365" w:rsidRPr="000C1AA2" w:rsidRDefault="004F6365" w:rsidP="00ED707C">
            <w:pPr>
              <w:jc w:val="center"/>
              <w:rPr>
                <w:rFonts w:ascii="Amiri" w:hAnsi="Amiri" w:cs="Amiri"/>
                <w:b/>
                <w:bCs/>
                <w:sz w:val="28"/>
                <w:szCs w:val="28"/>
                <w:rtl/>
                <w:lang w:bidi="ar-IQ"/>
              </w:rPr>
            </w:pPr>
            <w:r w:rsidRPr="000C1AA2">
              <w:rPr>
                <w:rFonts w:ascii="Amiri" w:hAnsi="Amiri" w:cs="Amiri"/>
                <w:b/>
                <w:bCs/>
                <w:sz w:val="28"/>
                <w:szCs w:val="28"/>
                <w:rtl/>
                <w:lang w:bidi="ar-IQ"/>
              </w:rPr>
              <w:t>اسم البحث</w:t>
            </w:r>
          </w:p>
        </w:tc>
        <w:tc>
          <w:tcPr>
            <w:tcW w:w="1315" w:type="dxa"/>
          </w:tcPr>
          <w:p w:rsidR="004F6365" w:rsidRPr="000C1AA2" w:rsidRDefault="004F6365" w:rsidP="00ED707C">
            <w:pPr>
              <w:jc w:val="center"/>
              <w:rPr>
                <w:rFonts w:ascii="Amiri" w:hAnsi="Amiri" w:cs="Amiri"/>
                <w:b/>
                <w:bCs/>
                <w:sz w:val="28"/>
                <w:szCs w:val="28"/>
                <w:rtl/>
              </w:rPr>
            </w:pPr>
            <w:r w:rsidRPr="000C1AA2">
              <w:rPr>
                <w:rFonts w:ascii="Amiri" w:hAnsi="Amiri" w:cs="Amiri"/>
                <w:b/>
                <w:bCs/>
                <w:sz w:val="28"/>
                <w:szCs w:val="28"/>
                <w:rtl/>
              </w:rPr>
              <w:t>اسم الباحث</w:t>
            </w:r>
          </w:p>
        </w:tc>
        <w:tc>
          <w:tcPr>
            <w:tcW w:w="2773" w:type="dxa"/>
          </w:tcPr>
          <w:p w:rsidR="004F6365" w:rsidRPr="000C1AA2" w:rsidRDefault="004F6365" w:rsidP="00ED707C">
            <w:pPr>
              <w:jc w:val="center"/>
              <w:rPr>
                <w:rFonts w:ascii="Amiri" w:hAnsi="Amiri" w:cs="Amiri"/>
                <w:b/>
                <w:bCs/>
                <w:sz w:val="28"/>
                <w:szCs w:val="28"/>
                <w:rtl/>
              </w:rPr>
            </w:pPr>
            <w:r w:rsidRPr="000C1AA2">
              <w:rPr>
                <w:rFonts w:ascii="Amiri" w:hAnsi="Amiri" w:cs="Amiri"/>
                <w:b/>
                <w:bCs/>
                <w:sz w:val="28"/>
                <w:szCs w:val="28"/>
                <w:rtl/>
              </w:rPr>
              <w:t>تاريخ نشر البحث</w:t>
            </w:r>
          </w:p>
        </w:tc>
        <w:tc>
          <w:tcPr>
            <w:tcW w:w="2595" w:type="dxa"/>
          </w:tcPr>
          <w:p w:rsidR="004F6365" w:rsidRPr="000C1AA2" w:rsidRDefault="004F6365" w:rsidP="00ED707C">
            <w:pPr>
              <w:jc w:val="center"/>
              <w:rPr>
                <w:rFonts w:ascii="Amiri" w:hAnsi="Amiri" w:cs="Amiri"/>
                <w:b/>
                <w:bCs/>
                <w:sz w:val="28"/>
                <w:szCs w:val="28"/>
                <w:rtl/>
              </w:rPr>
            </w:pPr>
            <w:r w:rsidRPr="000C1AA2">
              <w:rPr>
                <w:rFonts w:ascii="Amiri" w:hAnsi="Amiri" w:cs="Amiri"/>
                <w:b/>
                <w:bCs/>
                <w:sz w:val="28"/>
                <w:szCs w:val="28"/>
                <w:rtl/>
              </w:rPr>
              <w:t>الملخص</w:t>
            </w:r>
          </w:p>
        </w:tc>
      </w:tr>
      <w:tr w:rsidR="004F6365" w:rsidRPr="000C1AA2" w:rsidTr="0092734F">
        <w:tc>
          <w:tcPr>
            <w:tcW w:w="3356" w:type="dxa"/>
          </w:tcPr>
          <w:p w:rsidR="0092734F" w:rsidRPr="000C1AA2" w:rsidRDefault="0092734F" w:rsidP="0092734F">
            <w:pPr>
              <w:rPr>
                <w:rFonts w:ascii="Amiri" w:hAnsi="Amiri" w:cs="Amiri"/>
                <w:b/>
                <w:bCs/>
                <w:sz w:val="28"/>
                <w:szCs w:val="28"/>
                <w:rtl/>
                <w:lang w:bidi="ar-IQ"/>
              </w:rPr>
            </w:pPr>
            <w:r w:rsidRPr="000C1AA2">
              <w:rPr>
                <w:rFonts w:ascii="Amiri" w:hAnsi="Amiri" w:cs="Amiri"/>
                <w:b/>
                <w:bCs/>
                <w:sz w:val="28"/>
                <w:szCs w:val="28"/>
                <w:rtl/>
                <w:lang w:bidi="ar-IQ"/>
              </w:rPr>
              <w:t xml:space="preserve">1-تجليات ألفونات </w:t>
            </w:r>
            <w:r w:rsidRPr="000C1AA2">
              <w:rPr>
                <w:rFonts w:ascii="Amiri" w:hAnsi="Amiri" w:cs="Amiri"/>
                <w:b/>
                <w:bCs/>
                <w:sz w:val="28"/>
                <w:szCs w:val="28"/>
                <w:lang w:bidi="ar-IQ"/>
              </w:rPr>
              <w:t>Allophones</w:t>
            </w:r>
            <w:r w:rsidRPr="000C1AA2">
              <w:rPr>
                <w:rFonts w:ascii="Amiri" w:hAnsi="Amiri" w:cs="Amiri"/>
                <w:b/>
                <w:bCs/>
                <w:sz w:val="28"/>
                <w:szCs w:val="28"/>
                <w:rtl/>
                <w:lang w:bidi="ar-IQ"/>
              </w:rPr>
              <w:t xml:space="preserve"> فونيم</w:t>
            </w:r>
            <w:r w:rsidRPr="000C1AA2">
              <w:rPr>
                <w:rFonts w:ascii="Amiri" w:hAnsi="Amiri" w:cs="Amiri"/>
                <w:b/>
                <w:bCs/>
                <w:sz w:val="28"/>
                <w:szCs w:val="28"/>
                <w:lang w:bidi="ar-IQ"/>
              </w:rPr>
              <w:t>phoneme</w:t>
            </w:r>
            <w:r w:rsidRPr="000C1AA2">
              <w:rPr>
                <w:rFonts w:ascii="Amiri" w:hAnsi="Amiri" w:cs="Amiri"/>
                <w:b/>
                <w:bCs/>
                <w:sz w:val="28"/>
                <w:szCs w:val="28"/>
                <w:rtl/>
                <w:lang w:bidi="ar-IQ"/>
              </w:rPr>
              <w:t xml:space="preserve"> النّون وأثرها في تغيير الخصائص</w:t>
            </w:r>
          </w:p>
          <w:p w:rsidR="004F6365" w:rsidRPr="000C1AA2" w:rsidRDefault="0092734F" w:rsidP="0092734F">
            <w:pPr>
              <w:jc w:val="center"/>
              <w:rPr>
                <w:rFonts w:ascii="Amiri" w:hAnsi="Amiri" w:cs="Amiri"/>
                <w:b/>
                <w:bCs/>
                <w:sz w:val="28"/>
                <w:szCs w:val="28"/>
                <w:rtl/>
                <w:lang w:bidi="ar-IQ"/>
              </w:rPr>
            </w:pPr>
            <w:r w:rsidRPr="000C1AA2">
              <w:rPr>
                <w:rFonts w:ascii="Amiri" w:hAnsi="Amiri" w:cs="Amiri"/>
                <w:b/>
                <w:bCs/>
                <w:sz w:val="28"/>
                <w:szCs w:val="28"/>
                <w:rtl/>
                <w:lang w:bidi="ar-IQ"/>
              </w:rPr>
              <w:t>النطقية والأكوستيكية للفونيم، سورة آل عمران أنموذجًا "دراسة مخبرية"</w:t>
            </w:r>
          </w:p>
        </w:tc>
        <w:tc>
          <w:tcPr>
            <w:tcW w:w="1315" w:type="dxa"/>
          </w:tcPr>
          <w:p w:rsidR="004F6365" w:rsidRPr="000C1AA2" w:rsidRDefault="0092734F" w:rsidP="0092734F">
            <w:pPr>
              <w:jc w:val="center"/>
              <w:rPr>
                <w:rFonts w:ascii="Amiri" w:hAnsi="Amiri" w:cs="Amiri"/>
                <w:b/>
                <w:bCs/>
                <w:sz w:val="28"/>
                <w:szCs w:val="28"/>
                <w:rtl/>
              </w:rPr>
            </w:pPr>
            <w:r w:rsidRPr="000C1AA2">
              <w:rPr>
                <w:rFonts w:ascii="Amiri" w:hAnsi="Amiri" w:cs="Amiri"/>
                <w:b/>
                <w:bCs/>
                <w:sz w:val="28"/>
                <w:szCs w:val="28"/>
                <w:rtl/>
              </w:rPr>
              <w:t xml:space="preserve">أ.د. علي حسين </w:t>
            </w:r>
            <w:bookmarkStart w:id="0" w:name="_GoBack"/>
            <w:bookmarkEnd w:id="0"/>
            <w:r w:rsidRPr="000C1AA2">
              <w:rPr>
                <w:rFonts w:ascii="Amiri" w:hAnsi="Amiri" w:cs="Amiri"/>
                <w:b/>
                <w:bCs/>
                <w:sz w:val="28"/>
                <w:szCs w:val="28"/>
                <w:rtl/>
              </w:rPr>
              <w:t>خضير</w:t>
            </w:r>
          </w:p>
        </w:tc>
        <w:tc>
          <w:tcPr>
            <w:tcW w:w="2773" w:type="dxa"/>
          </w:tcPr>
          <w:p w:rsidR="004F6365" w:rsidRPr="000C1AA2" w:rsidRDefault="0092734F" w:rsidP="00ED707C">
            <w:pPr>
              <w:jc w:val="center"/>
              <w:rPr>
                <w:rFonts w:ascii="Amiri" w:hAnsi="Amiri" w:cs="Amiri"/>
                <w:b/>
                <w:bCs/>
                <w:sz w:val="28"/>
                <w:szCs w:val="28"/>
                <w:rtl/>
                <w:lang w:bidi="ar-IQ"/>
              </w:rPr>
            </w:pPr>
            <w:r w:rsidRPr="000C1AA2">
              <w:rPr>
                <w:rFonts w:ascii="Amiri" w:hAnsi="Amiri" w:cs="Amiri"/>
                <w:b/>
                <w:bCs/>
                <w:sz w:val="28"/>
                <w:szCs w:val="28"/>
                <w:rtl/>
                <w:lang w:bidi="ar-IQ"/>
              </w:rPr>
              <w:t>تأريخ النشر: 2023، مكان النشر: مجلة ديالى للبحوث الإنسانية/ (العدد: 96، المجلد:4)</w:t>
            </w:r>
          </w:p>
        </w:tc>
        <w:tc>
          <w:tcPr>
            <w:tcW w:w="2595" w:type="dxa"/>
          </w:tcPr>
          <w:p w:rsidR="0092734F" w:rsidRPr="000C1AA2" w:rsidRDefault="0092734F" w:rsidP="0092734F">
            <w:pPr>
              <w:jc w:val="center"/>
              <w:rPr>
                <w:rFonts w:ascii="Amiri" w:hAnsi="Amiri" w:cs="Amiri"/>
                <w:b/>
                <w:bCs/>
                <w:sz w:val="28"/>
                <w:szCs w:val="28"/>
                <w:rtl/>
                <w:lang w:bidi="ar-IQ"/>
              </w:rPr>
            </w:pPr>
            <w:r w:rsidRPr="000C1AA2">
              <w:rPr>
                <w:rFonts w:ascii="Amiri" w:hAnsi="Amiri" w:cs="Amiri"/>
                <w:b/>
                <w:bCs/>
                <w:sz w:val="28"/>
                <w:szCs w:val="28"/>
                <w:rtl/>
                <w:lang w:bidi="ar-IQ"/>
              </w:rPr>
              <w:t xml:space="preserve">نتغيّا من هذه الدراسة رصد أهم التغيرات التي تطرأ على الصورة الأصلية لفونيم (النّون) إثر التجليات المتعددة والمتنوعة لألفوناته في سورة آل عمران، ومحاولة إمكانية إسبار غور بعض سماته الداخلية، وإزالة هاجس الارتياب عن مشكل ظل قابعًا فينة من الزمن ألا وهو "الخلط الحاصل بين الصوت العضوي الزمني والفيزيائي من جهة وبين الألفون من جهة أخرى". والصواب خلاف ذلك، فالألفون صفة طارئة ومتغيرة تعتري الفونيم داخل السياق وليس صوتًا على الرغم من تحققه في الصوت، ويعود الأمر في ذلك إلى التفاعل الديناميكي بين الصوائت السابقة للفونيم والمخارج والهيئة التي تكون عليها </w:t>
            </w:r>
            <w:r w:rsidRPr="000C1AA2">
              <w:rPr>
                <w:rFonts w:ascii="Amiri" w:hAnsi="Amiri" w:cs="Amiri"/>
                <w:b/>
                <w:bCs/>
                <w:sz w:val="28"/>
                <w:szCs w:val="28"/>
                <w:rtl/>
                <w:lang w:bidi="ar-IQ"/>
              </w:rPr>
              <w:lastRenderedPageBreak/>
              <w:t>أعضاء النطق، وقد قسّمت الدراسة على مبحثين تسبقهما مقدمة وتعقبهما خاتمة تضمّ أهم النتائج التي تم التوصل إليها.</w:t>
            </w:r>
          </w:p>
          <w:p w:rsidR="004F6365" w:rsidRPr="000C1AA2" w:rsidRDefault="0092734F" w:rsidP="0092734F">
            <w:pPr>
              <w:jc w:val="center"/>
              <w:rPr>
                <w:rFonts w:ascii="Amiri" w:hAnsi="Amiri" w:cs="Amiri"/>
                <w:b/>
                <w:bCs/>
                <w:sz w:val="28"/>
                <w:szCs w:val="28"/>
                <w:rtl/>
                <w:lang w:bidi="ar-IQ"/>
              </w:rPr>
            </w:pPr>
            <w:r w:rsidRPr="000C1AA2">
              <w:rPr>
                <w:rFonts w:ascii="Amiri" w:hAnsi="Amiri" w:cs="Amiri"/>
                <w:b/>
                <w:bCs/>
                <w:color w:val="FF0000"/>
                <w:sz w:val="28"/>
                <w:szCs w:val="28"/>
                <w:rtl/>
                <w:lang w:bidi="ar-IQ"/>
              </w:rPr>
              <w:t xml:space="preserve">الكلمات المفتاحية: </w:t>
            </w:r>
            <w:r w:rsidRPr="000C1AA2">
              <w:rPr>
                <w:rFonts w:ascii="Amiri" w:hAnsi="Amiri" w:cs="Amiri"/>
                <w:b/>
                <w:bCs/>
                <w:sz w:val="28"/>
                <w:szCs w:val="28"/>
                <w:rtl/>
                <w:lang w:bidi="ar-IQ"/>
              </w:rPr>
              <w:t>الألفون، الفونيم، الصوت، آل عمران.</w:t>
            </w:r>
          </w:p>
        </w:tc>
      </w:tr>
      <w:tr w:rsidR="004F6365" w:rsidRPr="000C1AA2" w:rsidTr="0092734F">
        <w:trPr>
          <w:trHeight w:val="2376"/>
        </w:trPr>
        <w:tc>
          <w:tcPr>
            <w:tcW w:w="3356" w:type="dxa"/>
          </w:tcPr>
          <w:p w:rsidR="004F6365" w:rsidRPr="000C1AA2" w:rsidRDefault="0092734F" w:rsidP="00ED707C">
            <w:pPr>
              <w:jc w:val="center"/>
              <w:rPr>
                <w:rFonts w:ascii="Amiri" w:hAnsi="Amiri" w:cs="Amiri"/>
                <w:b/>
                <w:bCs/>
                <w:sz w:val="28"/>
                <w:szCs w:val="28"/>
                <w:rtl/>
              </w:rPr>
            </w:pPr>
            <w:r w:rsidRPr="000C1AA2">
              <w:rPr>
                <w:rFonts w:ascii="Amiri" w:hAnsi="Amiri" w:cs="Amiri" w:hint="cs"/>
                <w:b/>
                <w:bCs/>
                <w:sz w:val="28"/>
                <w:szCs w:val="28"/>
                <w:rtl/>
              </w:rPr>
              <w:lastRenderedPageBreak/>
              <w:t>2-</w:t>
            </w:r>
            <w:r w:rsidRPr="000C1AA2">
              <w:rPr>
                <w:b/>
                <w:bCs/>
                <w:rtl/>
              </w:rPr>
              <w:t xml:space="preserve"> </w:t>
            </w:r>
            <w:r w:rsidRPr="000C1AA2">
              <w:rPr>
                <w:rFonts w:ascii="Amiri" w:hAnsi="Amiri" w:cs="Amiri"/>
                <w:b/>
                <w:bCs/>
                <w:sz w:val="28"/>
                <w:szCs w:val="28"/>
                <w:rtl/>
              </w:rPr>
              <w:t>التأويل النحوي عند أبي حفص النسفي (ت537هـ) في كتابه "التيسير في التفسير") المنصوبات أنموذجًا</w:t>
            </w:r>
          </w:p>
        </w:tc>
        <w:tc>
          <w:tcPr>
            <w:tcW w:w="1315" w:type="dxa"/>
          </w:tcPr>
          <w:p w:rsidR="00650F7A" w:rsidRPr="000C1AA2" w:rsidRDefault="00650F7A" w:rsidP="00650F7A">
            <w:pPr>
              <w:rPr>
                <w:rFonts w:ascii="Amiri" w:hAnsi="Amiri" w:cs="Amiri"/>
                <w:b/>
                <w:bCs/>
                <w:sz w:val="28"/>
                <w:szCs w:val="28"/>
                <w:rtl/>
              </w:rPr>
            </w:pPr>
            <w:r w:rsidRPr="000C1AA2">
              <w:rPr>
                <w:rFonts w:ascii="Amiri" w:hAnsi="Amiri" w:cs="Amiri" w:hint="cs"/>
                <w:b/>
                <w:bCs/>
                <w:sz w:val="28"/>
                <w:szCs w:val="28"/>
                <w:rtl/>
              </w:rPr>
              <w:t>م.م. عبد العظيم قيس هادي</w:t>
            </w:r>
          </w:p>
          <w:p w:rsidR="004C4D28" w:rsidRPr="000C1AA2" w:rsidRDefault="0092734F" w:rsidP="00650F7A">
            <w:pPr>
              <w:rPr>
                <w:rFonts w:ascii="Amiri" w:hAnsi="Amiri" w:cs="Amiri"/>
                <w:b/>
                <w:bCs/>
                <w:sz w:val="28"/>
                <w:szCs w:val="28"/>
                <w:rtl/>
              </w:rPr>
            </w:pPr>
            <w:r w:rsidRPr="000C1AA2">
              <w:rPr>
                <w:rFonts w:ascii="Amiri" w:hAnsi="Amiri" w:cs="Amiri"/>
                <w:b/>
                <w:bCs/>
                <w:sz w:val="28"/>
                <w:szCs w:val="28"/>
                <w:rtl/>
              </w:rPr>
              <w:t xml:space="preserve">أ.د. علي حسين خضير </w:t>
            </w:r>
          </w:p>
          <w:p w:rsidR="00650F7A" w:rsidRPr="000C1AA2" w:rsidRDefault="00650F7A" w:rsidP="00650F7A">
            <w:pPr>
              <w:rPr>
                <w:rFonts w:ascii="Amiri" w:hAnsi="Amiri" w:cs="Amiri"/>
                <w:b/>
                <w:bCs/>
                <w:sz w:val="28"/>
                <w:szCs w:val="28"/>
                <w:rtl/>
              </w:rPr>
            </w:pPr>
          </w:p>
        </w:tc>
        <w:tc>
          <w:tcPr>
            <w:tcW w:w="2773" w:type="dxa"/>
          </w:tcPr>
          <w:p w:rsidR="004F6365" w:rsidRPr="000C1AA2" w:rsidRDefault="0092734F" w:rsidP="00ED707C">
            <w:pPr>
              <w:jc w:val="center"/>
              <w:rPr>
                <w:rFonts w:ascii="Amiri" w:hAnsi="Amiri" w:cs="Amiri"/>
                <w:b/>
                <w:bCs/>
                <w:sz w:val="28"/>
                <w:szCs w:val="28"/>
                <w:rtl/>
              </w:rPr>
            </w:pPr>
            <w:r w:rsidRPr="000C1AA2">
              <w:rPr>
                <w:rFonts w:ascii="Amiri" w:hAnsi="Amiri" w:cs="Amiri"/>
                <w:b/>
                <w:bCs/>
                <w:sz w:val="28"/>
                <w:szCs w:val="28"/>
                <w:rtl/>
              </w:rPr>
              <w:t>تأريخ النشر: أيلول2022، مكان النشر: مجلة جامعة الأنبار للغات والآداب/ (العدد: 37، المجلد:1)</w:t>
            </w:r>
          </w:p>
        </w:tc>
        <w:tc>
          <w:tcPr>
            <w:tcW w:w="2595" w:type="dxa"/>
          </w:tcPr>
          <w:p w:rsidR="0092734F" w:rsidRPr="000C1AA2" w:rsidRDefault="0092734F" w:rsidP="0092734F">
            <w:pPr>
              <w:jc w:val="center"/>
              <w:rPr>
                <w:rFonts w:ascii="Amiri" w:hAnsi="Amiri" w:cs="Amiri"/>
                <w:b/>
                <w:bCs/>
                <w:sz w:val="28"/>
                <w:szCs w:val="28"/>
                <w:rtl/>
              </w:rPr>
            </w:pPr>
            <w:r w:rsidRPr="000C1AA2">
              <w:rPr>
                <w:rFonts w:ascii="Amiri" w:hAnsi="Amiri" w:cs="Amiri"/>
                <w:b/>
                <w:bCs/>
                <w:sz w:val="28"/>
                <w:szCs w:val="28"/>
                <w:rtl/>
              </w:rPr>
              <w:t xml:space="preserve">تتغيا هذه الدراسة التّعرف إلى (التأويل النّحوي عند الإمام عمر بن محمد أبي حفص النّسفي (ت 537 هـ) في كتابه: (التيسير في التّفسير المرفوعات أنموذجًا)، وتسليط الضّوء على منهجيته المميّزة التي اتّبعها في كتابه وبيان مدى استيعاب هذا التّفسير للتأويل النّحوي، وأثره في توجيه المعنى، فضلًا عن القيمة التي يظهرها هذا الجانب في التّفسير، إذ يستعرض أبو حفص النّسفي في كتابه الكثير من القراءات القرآنية التي وردت عن علماء </w:t>
            </w:r>
            <w:r w:rsidRPr="000C1AA2">
              <w:rPr>
                <w:rFonts w:ascii="Amiri" w:hAnsi="Amiri" w:cs="Amiri"/>
                <w:b/>
                <w:bCs/>
                <w:sz w:val="28"/>
                <w:szCs w:val="28"/>
                <w:rtl/>
              </w:rPr>
              <w:lastRenderedPageBreak/>
              <w:t xml:space="preserve">القراءات؛ فضلًا عن تأويله النّحوي لهذه القراءات، ولتحقيق الغاية من هذه الدراسة فقد جمعنا عددا من المسائل النحوية في المنصوبات من كتابه وهي: النصب على أنه مفعول به ثاني، والنصب على نزع الخافض، والنصب على الملازمة(الإغراء)، والنصب على المصدر، والنصب على التمييز ، والنصب على النعت، والنصب على الظرفية، والنصب على الحال، ويهدف بحثنا هذا إلى معرفة التأويل النحوي في قراءات النصب في هذه المسائل عند أبي حفص وأيضا عند المفسرين والنحاة أيضا، ولم نكتف بذكر التأويل النحوي لقراءات النصب فحسب، وإنما ذكرت التأويل النحوي للقراءات الشاذة </w:t>
            </w:r>
            <w:r w:rsidRPr="000C1AA2">
              <w:rPr>
                <w:rFonts w:ascii="Amiri" w:hAnsi="Amiri" w:cs="Amiri"/>
                <w:b/>
                <w:bCs/>
                <w:sz w:val="28"/>
                <w:szCs w:val="28"/>
                <w:rtl/>
              </w:rPr>
              <w:lastRenderedPageBreak/>
              <w:t xml:space="preserve">في بعض المسائل أيضا، ووجدت هناك قراءة بيّن لها النسفي تأويلًا نحويًا واحدًا وهناك قراءة أخرى نجده يبين لها أكثر من تأويل نحوي.  </w:t>
            </w:r>
          </w:p>
          <w:p w:rsidR="004F6365" w:rsidRPr="000C1AA2" w:rsidRDefault="0092734F" w:rsidP="0092734F">
            <w:pPr>
              <w:jc w:val="center"/>
              <w:rPr>
                <w:rFonts w:ascii="Amiri" w:hAnsi="Amiri" w:cs="Amiri"/>
                <w:b/>
                <w:bCs/>
                <w:sz w:val="28"/>
                <w:szCs w:val="28"/>
                <w:rtl/>
              </w:rPr>
            </w:pPr>
            <w:r w:rsidRPr="000C1AA2">
              <w:rPr>
                <w:rFonts w:ascii="Amiri" w:hAnsi="Amiri" w:cs="Amiri"/>
                <w:b/>
                <w:bCs/>
                <w:color w:val="FF0000"/>
                <w:sz w:val="28"/>
                <w:szCs w:val="28"/>
                <w:rtl/>
              </w:rPr>
              <w:t xml:space="preserve">الكلمات المفتاحية: </w:t>
            </w:r>
            <w:r w:rsidRPr="000C1AA2">
              <w:rPr>
                <w:rFonts w:ascii="Amiri" w:hAnsi="Amiri" w:cs="Amiri"/>
                <w:b/>
                <w:bCs/>
                <w:sz w:val="28"/>
                <w:szCs w:val="28"/>
                <w:rtl/>
              </w:rPr>
              <w:t>التأويل، النحوي، التيسير، التفسير، النسفي.</w:t>
            </w:r>
          </w:p>
        </w:tc>
      </w:tr>
      <w:tr w:rsidR="0092734F" w:rsidRPr="000C1AA2" w:rsidTr="0092734F">
        <w:trPr>
          <w:trHeight w:val="2376"/>
        </w:trPr>
        <w:tc>
          <w:tcPr>
            <w:tcW w:w="3356" w:type="dxa"/>
          </w:tcPr>
          <w:p w:rsidR="0092734F" w:rsidRPr="000C1AA2" w:rsidRDefault="0092734F" w:rsidP="0092734F">
            <w:pPr>
              <w:rPr>
                <w:rFonts w:ascii="Amiri" w:hAnsi="Amiri" w:cs="Amiri"/>
                <w:b/>
                <w:bCs/>
                <w:sz w:val="28"/>
                <w:szCs w:val="28"/>
                <w:rtl/>
              </w:rPr>
            </w:pPr>
            <w:r w:rsidRPr="000C1AA2">
              <w:rPr>
                <w:rFonts w:ascii="Amiri" w:hAnsi="Amiri" w:cs="Amiri" w:hint="cs"/>
                <w:b/>
                <w:bCs/>
                <w:sz w:val="28"/>
                <w:szCs w:val="28"/>
                <w:rtl/>
              </w:rPr>
              <w:lastRenderedPageBreak/>
              <w:t>3-</w:t>
            </w:r>
            <w:r w:rsidRPr="000C1AA2">
              <w:rPr>
                <w:b/>
                <w:bCs/>
                <w:rtl/>
              </w:rPr>
              <w:t xml:space="preserve"> </w:t>
            </w:r>
            <w:r w:rsidRPr="000C1AA2">
              <w:rPr>
                <w:rFonts w:ascii="Amiri" w:hAnsi="Amiri" w:cs="Amiri"/>
                <w:b/>
                <w:bCs/>
                <w:sz w:val="28"/>
                <w:szCs w:val="28"/>
                <w:rtl/>
              </w:rPr>
              <w:t>اللسانيات وأثرها في العنف الأسري "محافظ الأنبار</w:t>
            </w:r>
            <w:r w:rsidRPr="000C1AA2">
              <w:rPr>
                <w:rFonts w:ascii="Amiri" w:hAnsi="Amiri" w:cs="Amiri" w:hint="cs"/>
                <w:b/>
                <w:bCs/>
                <w:sz w:val="28"/>
                <w:szCs w:val="28"/>
                <w:rtl/>
              </w:rPr>
              <w:t xml:space="preserve"> </w:t>
            </w:r>
            <w:r w:rsidRPr="000C1AA2">
              <w:rPr>
                <w:rFonts w:ascii="Amiri" w:hAnsi="Amiri" w:cs="Amiri"/>
                <w:b/>
                <w:bCs/>
                <w:sz w:val="28"/>
                <w:szCs w:val="28"/>
                <w:rtl/>
              </w:rPr>
              <w:t>" أنموذجًا</w:t>
            </w:r>
            <w:r w:rsidRPr="000C1AA2">
              <w:rPr>
                <w:rFonts w:ascii="Amiri" w:hAnsi="Amiri" w:cs="Amiri" w:hint="cs"/>
                <w:b/>
                <w:bCs/>
                <w:sz w:val="28"/>
                <w:szCs w:val="28"/>
                <w:rtl/>
              </w:rPr>
              <w:t xml:space="preserve"> "</w:t>
            </w:r>
          </w:p>
        </w:tc>
        <w:tc>
          <w:tcPr>
            <w:tcW w:w="1315" w:type="dxa"/>
          </w:tcPr>
          <w:p w:rsidR="0092734F" w:rsidRPr="000C1AA2" w:rsidRDefault="0092734F" w:rsidP="00ED707C">
            <w:pPr>
              <w:jc w:val="center"/>
              <w:rPr>
                <w:rFonts w:ascii="Amiri" w:hAnsi="Amiri" w:cs="Amiri"/>
                <w:b/>
                <w:bCs/>
                <w:sz w:val="28"/>
                <w:szCs w:val="28"/>
                <w:rtl/>
              </w:rPr>
            </w:pPr>
            <w:r w:rsidRPr="000C1AA2">
              <w:rPr>
                <w:rFonts w:ascii="Amiri" w:hAnsi="Amiri" w:cs="Amiri"/>
                <w:b/>
                <w:bCs/>
                <w:sz w:val="28"/>
                <w:szCs w:val="28"/>
                <w:rtl/>
              </w:rPr>
              <w:t>أ.د. علي حسين خضير</w:t>
            </w:r>
          </w:p>
        </w:tc>
        <w:tc>
          <w:tcPr>
            <w:tcW w:w="2773" w:type="dxa"/>
          </w:tcPr>
          <w:p w:rsidR="0092734F" w:rsidRPr="000C1AA2" w:rsidRDefault="0092734F" w:rsidP="00ED707C">
            <w:pPr>
              <w:jc w:val="center"/>
              <w:rPr>
                <w:rFonts w:ascii="Amiri" w:hAnsi="Amiri" w:cs="Amiri"/>
                <w:b/>
                <w:bCs/>
                <w:sz w:val="28"/>
                <w:szCs w:val="28"/>
                <w:rtl/>
              </w:rPr>
            </w:pPr>
            <w:r w:rsidRPr="000C1AA2">
              <w:rPr>
                <w:rFonts w:ascii="Amiri" w:hAnsi="Amiri" w:cs="Amiri"/>
                <w:b/>
                <w:bCs/>
                <w:sz w:val="28"/>
                <w:szCs w:val="28"/>
                <w:rtl/>
              </w:rPr>
              <w:t>تأريخ النشر: 30/أيلول/ 2024، مكان النشر: مجلة نسق (العدد: 9/ مجلد: 43</w:t>
            </w:r>
          </w:p>
        </w:tc>
        <w:tc>
          <w:tcPr>
            <w:tcW w:w="2595" w:type="dxa"/>
          </w:tcPr>
          <w:p w:rsidR="0092734F" w:rsidRPr="000C1AA2" w:rsidRDefault="0092734F" w:rsidP="0092734F">
            <w:pPr>
              <w:jc w:val="center"/>
              <w:rPr>
                <w:rFonts w:ascii="Amiri" w:hAnsi="Amiri" w:cs="Amiri"/>
                <w:b/>
                <w:bCs/>
                <w:sz w:val="28"/>
                <w:szCs w:val="28"/>
                <w:rtl/>
              </w:rPr>
            </w:pPr>
            <w:r w:rsidRPr="000C1AA2">
              <w:rPr>
                <w:rFonts w:ascii="Amiri" w:hAnsi="Amiri" w:cs="Amiri"/>
                <w:b/>
                <w:bCs/>
                <w:sz w:val="28"/>
                <w:szCs w:val="28"/>
                <w:rtl/>
              </w:rPr>
              <w:t xml:space="preserve">العنف اللساني من الظواهر التي شهدت تفشيًا حثيثًا في المؤتلفات عمومًا وتسلل لِواذًا إلى حرمتها يتأبط أصنافًا وسلوكيات تمتشق معاول الهدم على المستويات النفسية والاجتماعية والاقتصادية المجتمعية وبدّد الكثير من شُنُقها المَنيعة، والعنف اللساني –هنا- اضطراب يعتري بنية اللغة يسلبها قيمتها النافذة في المستمع حتى تستحيل محايدة غير سارية، وتكون سببًا في اختلاله وعدم اتزانه، فالعملية الكلامية أسلوب </w:t>
            </w:r>
            <w:r w:rsidRPr="000C1AA2">
              <w:rPr>
                <w:rFonts w:ascii="Amiri" w:hAnsi="Amiri" w:cs="Amiri"/>
                <w:b/>
                <w:bCs/>
                <w:sz w:val="28"/>
                <w:szCs w:val="28"/>
                <w:rtl/>
              </w:rPr>
              <w:lastRenderedPageBreak/>
              <w:t xml:space="preserve">وفنيّةٌ تُستعمل لنقحرة ما يحتدم ويلتجّ في النفس من سريرة وطويّة. وما يجري في التعنيف اللساني ليس قيمة حقيقية بل نعوت ممقوتة تنبثق من مستخدمي اللغة كردود غير وطيدة بغية التنكّب عن قول أو فعل جعلتهم مرهودي الأمر فاقدين زمام لسانهم اللغوي غير مكترثين لأمره. وإشكالية الدراسة تكمن في استجلاء الصلة الوثيقة بين اللسانيات والعنف الأسري المستشري، والوقوف على الضرر المترتب على اضطراب قيمة بنية اللغة إبّان الانفعال المستحكم المصحوب بموجات ذبذبية سلبية تسعى إلى تثبيط النفس وتفعيل عناصر الكآبة. وتهدف الدراسة إلى إبداء البواعث النافذة التي تعدّ مهمازًا لاستشراء العنف </w:t>
            </w:r>
            <w:r w:rsidRPr="000C1AA2">
              <w:rPr>
                <w:rFonts w:ascii="Amiri" w:hAnsi="Amiri" w:cs="Amiri"/>
                <w:b/>
                <w:bCs/>
                <w:sz w:val="28"/>
                <w:szCs w:val="28"/>
                <w:rtl/>
              </w:rPr>
              <w:lastRenderedPageBreak/>
              <w:t>اللساني الذي يعدّ دخيلًا على المجتمع الأنباري. وفاعلية الألسنية تتجلى ساطعة في الصياغة التي يستدعيها البشر طُرًّا لتخفيف وطأة الانفعال الناجم عن احتدام المشاعر، وذلك باستقطاب الوسائل اللسانية كافة الصوتية، والصرفية، والنحوية، والدلالية والتداولية؛ لتخليق الصياغة البُلغة لتبديد ما انتابه واعتراه من مشاعر لتخْلق إجابة على تلك الانفعالات بغض النظر عن قيمة الملفوظ. وقد توسل الباحث المنهج الكيفي مسارًا له فضلًا عن الميداني، ورشحت جملة من الاستنتاجات المتعلقة بكنه الدراسة الذي ثبّ أمرها مقسّمة على مبحثين تسبقهما مقدمة وتليهما خاتمة تضم أهم النتائج فضلًا عن التوصيات.</w:t>
            </w:r>
          </w:p>
          <w:p w:rsidR="0092734F" w:rsidRPr="000C1AA2" w:rsidRDefault="0092734F" w:rsidP="0092734F">
            <w:pPr>
              <w:jc w:val="center"/>
              <w:rPr>
                <w:rFonts w:ascii="Amiri" w:hAnsi="Amiri" w:cs="Amiri"/>
                <w:b/>
                <w:bCs/>
                <w:sz w:val="28"/>
                <w:szCs w:val="28"/>
                <w:rtl/>
              </w:rPr>
            </w:pPr>
            <w:r w:rsidRPr="000C1AA2">
              <w:rPr>
                <w:rFonts w:ascii="Amiri" w:hAnsi="Amiri" w:cs="Amiri"/>
                <w:b/>
                <w:bCs/>
                <w:color w:val="FF0000"/>
                <w:sz w:val="28"/>
                <w:szCs w:val="28"/>
                <w:rtl/>
              </w:rPr>
              <w:lastRenderedPageBreak/>
              <w:t xml:space="preserve">الكلمات المفتاحية: </w:t>
            </w:r>
            <w:r w:rsidRPr="000C1AA2">
              <w:rPr>
                <w:rFonts w:ascii="Amiri" w:hAnsi="Amiri" w:cs="Amiri"/>
                <w:b/>
                <w:bCs/>
                <w:sz w:val="28"/>
                <w:szCs w:val="28"/>
                <w:rtl/>
              </w:rPr>
              <w:t>الألسنية، العنف، الأسرة، الأثر.</w:t>
            </w:r>
          </w:p>
        </w:tc>
      </w:tr>
      <w:tr w:rsidR="0092734F" w:rsidRPr="000C1AA2" w:rsidTr="0092734F">
        <w:trPr>
          <w:trHeight w:val="2376"/>
        </w:trPr>
        <w:tc>
          <w:tcPr>
            <w:tcW w:w="3356" w:type="dxa"/>
          </w:tcPr>
          <w:p w:rsidR="0092734F" w:rsidRPr="000C1AA2" w:rsidRDefault="0092734F" w:rsidP="0092734F">
            <w:pPr>
              <w:jc w:val="center"/>
              <w:rPr>
                <w:rFonts w:ascii="Amiri" w:hAnsi="Amiri" w:cs="Amiri"/>
                <w:b/>
                <w:bCs/>
                <w:sz w:val="28"/>
                <w:szCs w:val="28"/>
                <w:rtl/>
              </w:rPr>
            </w:pPr>
            <w:r w:rsidRPr="000C1AA2">
              <w:rPr>
                <w:rFonts w:ascii="Amiri" w:hAnsi="Amiri" w:cs="Amiri" w:hint="cs"/>
                <w:b/>
                <w:bCs/>
                <w:sz w:val="28"/>
                <w:szCs w:val="28"/>
                <w:rtl/>
              </w:rPr>
              <w:lastRenderedPageBreak/>
              <w:t>4-</w:t>
            </w:r>
            <w:r w:rsidRPr="000C1AA2">
              <w:rPr>
                <w:b/>
                <w:bCs/>
                <w:rtl/>
              </w:rPr>
              <w:t xml:space="preserve"> </w:t>
            </w:r>
            <w:r w:rsidRPr="000C1AA2">
              <w:rPr>
                <w:rFonts w:ascii="Amiri" w:hAnsi="Amiri" w:cs="Amiri"/>
                <w:b/>
                <w:bCs/>
                <w:sz w:val="28"/>
                <w:szCs w:val="28"/>
                <w:rtl/>
              </w:rPr>
              <w:t>التجاور الصوتي السياقي في تفسير مفاتح الغيب " الإمالة " أنموذجًا "دراسة مخبرية"</w:t>
            </w:r>
          </w:p>
          <w:p w:rsidR="0092734F" w:rsidRPr="000C1AA2" w:rsidRDefault="0092734F" w:rsidP="0092734F">
            <w:pPr>
              <w:rPr>
                <w:rFonts w:ascii="Amiri" w:hAnsi="Amiri" w:cs="Amiri"/>
                <w:b/>
                <w:bCs/>
                <w:sz w:val="28"/>
                <w:szCs w:val="28"/>
                <w:rtl/>
              </w:rPr>
            </w:pPr>
          </w:p>
        </w:tc>
        <w:tc>
          <w:tcPr>
            <w:tcW w:w="1315" w:type="dxa"/>
          </w:tcPr>
          <w:p w:rsidR="0092734F" w:rsidRPr="000C1AA2" w:rsidRDefault="0092734F" w:rsidP="00ED707C">
            <w:pPr>
              <w:jc w:val="center"/>
              <w:rPr>
                <w:rFonts w:ascii="Amiri" w:hAnsi="Amiri" w:cs="Amiri"/>
                <w:b/>
                <w:bCs/>
                <w:sz w:val="28"/>
                <w:szCs w:val="28"/>
                <w:rtl/>
              </w:rPr>
            </w:pPr>
            <w:r w:rsidRPr="000C1AA2">
              <w:rPr>
                <w:rFonts w:ascii="Amiri" w:hAnsi="Amiri" w:cs="Amiri"/>
                <w:b/>
                <w:bCs/>
                <w:sz w:val="28"/>
                <w:szCs w:val="28"/>
                <w:rtl/>
              </w:rPr>
              <w:t>أ.د. علي حسين خضير</w:t>
            </w:r>
          </w:p>
        </w:tc>
        <w:tc>
          <w:tcPr>
            <w:tcW w:w="2773" w:type="dxa"/>
          </w:tcPr>
          <w:p w:rsidR="0092734F" w:rsidRPr="000C1AA2" w:rsidRDefault="0092734F" w:rsidP="00ED707C">
            <w:pPr>
              <w:jc w:val="center"/>
              <w:rPr>
                <w:rFonts w:ascii="Amiri" w:hAnsi="Amiri" w:cs="Amiri"/>
                <w:b/>
                <w:bCs/>
                <w:sz w:val="28"/>
                <w:szCs w:val="28"/>
                <w:rtl/>
              </w:rPr>
            </w:pPr>
            <w:r w:rsidRPr="000C1AA2">
              <w:rPr>
                <w:rFonts w:ascii="Amiri" w:hAnsi="Amiri" w:cs="Amiri"/>
                <w:b/>
                <w:bCs/>
                <w:sz w:val="28"/>
                <w:szCs w:val="28"/>
                <w:rtl/>
              </w:rPr>
              <w:t>تأريخ النشر: 30/كانون الأول/ 2024، مكان النشر: مجلة نسق (العدد الأول/ مجلد 44)</w:t>
            </w:r>
          </w:p>
        </w:tc>
        <w:tc>
          <w:tcPr>
            <w:tcW w:w="2595" w:type="dxa"/>
          </w:tcPr>
          <w:p w:rsidR="0092734F" w:rsidRPr="000C1AA2" w:rsidRDefault="0092734F" w:rsidP="0092734F">
            <w:pPr>
              <w:jc w:val="center"/>
              <w:rPr>
                <w:rFonts w:ascii="Amiri" w:hAnsi="Amiri" w:cs="Amiri"/>
                <w:b/>
                <w:bCs/>
                <w:sz w:val="28"/>
                <w:szCs w:val="28"/>
                <w:rtl/>
              </w:rPr>
            </w:pPr>
            <w:r w:rsidRPr="000C1AA2">
              <w:rPr>
                <w:rFonts w:ascii="Amiri" w:hAnsi="Amiri" w:cs="Amiri"/>
                <w:b/>
                <w:bCs/>
                <w:sz w:val="28"/>
                <w:szCs w:val="28"/>
                <w:rtl/>
              </w:rPr>
              <w:t>تتغيّا هذه الدراسة الكشف عن ظاهرة صوتية سياقية في أحد أهم كتب تفسير القرآن الكريم، وهي ظاهرة الإمالة التي تعدّ من الظواهر الصوتية المهمة التي تمثل حالة نطقية يتشبث بها جمع غفير من ناطقي العربية، حتى نقل عن مُتعصبيهم قوله: إذا بلغ الصبي فينا ولم ينطق:(مكَّة) و(جنَّة) بالإمالة استربنا أصله. وأظهرت الدراسة مفهوم الإمالة ورموزها ودرجاتها ومصطلحاتها، وموقعها من تصنيف (</w:t>
            </w:r>
            <w:r w:rsidRPr="000C1AA2">
              <w:rPr>
                <w:rFonts w:ascii="Amiri" w:hAnsi="Amiri" w:cs="Amiri"/>
                <w:b/>
                <w:bCs/>
                <w:sz w:val="28"/>
                <w:szCs w:val="28"/>
              </w:rPr>
              <w:t>Daniel Jones</w:t>
            </w:r>
            <w:r w:rsidRPr="000C1AA2">
              <w:rPr>
                <w:rFonts w:ascii="Amiri" w:hAnsi="Amiri" w:cs="Amiri"/>
                <w:b/>
                <w:bCs/>
                <w:sz w:val="28"/>
                <w:szCs w:val="28"/>
                <w:rtl/>
              </w:rPr>
              <w:t xml:space="preserve">) للحركات المعيارية، وتقصي الشواهد في التفسير وإحصائها، كما </w:t>
            </w:r>
            <w:r w:rsidRPr="000C1AA2">
              <w:rPr>
                <w:rFonts w:ascii="Amiri" w:hAnsi="Amiri" w:cs="Amiri"/>
                <w:b/>
                <w:bCs/>
                <w:sz w:val="28"/>
                <w:szCs w:val="28"/>
                <w:rtl/>
              </w:rPr>
              <w:lastRenderedPageBreak/>
              <w:t>حاولت الدراسة الإجابة عن تساؤل هل المسوّغات المقدّمة لحدوث الإمالة واقعية أم أنّها خَرْط قَتاد، فضلًا عن تفنيد بعض المزاعم في تفسير الظاهرة. وقد كانت الدراسة انتقائية بسبب كثرة الشواهد وأنواع الإمالة، وتوسلتُ المنهج الوصفي التحليلي في الدراسة فضلًا عن المخبر الصوتي الذي اعتمدت فيه البرنامج الصوتي العالمي (</w:t>
            </w:r>
            <w:r w:rsidRPr="000C1AA2">
              <w:rPr>
                <w:rFonts w:ascii="Amiri" w:hAnsi="Amiri" w:cs="Amiri"/>
                <w:b/>
                <w:bCs/>
                <w:sz w:val="28"/>
                <w:szCs w:val="28"/>
              </w:rPr>
              <w:t>praat</w:t>
            </w:r>
            <w:r w:rsidRPr="000C1AA2">
              <w:rPr>
                <w:rFonts w:ascii="Amiri" w:hAnsi="Amiri" w:cs="Amiri"/>
                <w:b/>
                <w:bCs/>
                <w:sz w:val="28"/>
                <w:szCs w:val="28"/>
                <w:rtl/>
              </w:rPr>
              <w:t xml:space="preserve">)، وكان للمعطيات المخبرية أثرها في الردّ على بعض المزاعم في تعليل هذه الظاهرة والِالتجاج الواقع في سبر أحكامها، ولعلّ إقرارهم بالإمالة الشاذة بيّنة على اضطرابهم في إحكام قواعدها، وكان من أهم المعطيات المخبرية أنَّ الإمالة ليست أخف من الفتح كما زعموا؛ بل هي أكثر ترددًا بيد أنّها أقلّ </w:t>
            </w:r>
            <w:r w:rsidRPr="000C1AA2">
              <w:rPr>
                <w:rFonts w:ascii="Amiri" w:hAnsi="Amiri" w:cs="Amiri"/>
                <w:b/>
                <w:bCs/>
                <w:sz w:val="28"/>
                <w:szCs w:val="28"/>
                <w:rtl/>
              </w:rPr>
              <w:lastRenderedPageBreak/>
              <w:t xml:space="preserve">شدة؛ لصغر حجم الحجرة الصوتية مع الإمالة واتساعها مع الفتح. وهذا يُفنِّد قول بعض المحدثين في تعليل حدوثها بأنه راجع إلى "رغبة المتكلم في الإسراع؛ لأنَّ صوت الياء أقصر من صوت الألِف. وثبّ أمر الدراسة مقسّمة على مبحثين تسبقهما مقدمة وتعقبهما خاتمة.    </w:t>
            </w:r>
          </w:p>
          <w:p w:rsidR="0092734F" w:rsidRPr="000C1AA2" w:rsidRDefault="0092734F" w:rsidP="0092734F">
            <w:pPr>
              <w:jc w:val="center"/>
              <w:rPr>
                <w:rFonts w:ascii="Amiri" w:hAnsi="Amiri" w:cs="Amiri"/>
                <w:b/>
                <w:bCs/>
                <w:sz w:val="28"/>
                <w:szCs w:val="28"/>
                <w:rtl/>
              </w:rPr>
            </w:pPr>
            <w:r w:rsidRPr="000C1AA2">
              <w:rPr>
                <w:rFonts w:ascii="Amiri" w:hAnsi="Amiri" w:cs="Amiri"/>
                <w:b/>
                <w:bCs/>
                <w:color w:val="FF0000"/>
                <w:sz w:val="28"/>
                <w:szCs w:val="28"/>
                <w:rtl/>
              </w:rPr>
              <w:t xml:space="preserve">الكلمات المفتاحية: </w:t>
            </w:r>
            <w:r w:rsidRPr="000C1AA2">
              <w:rPr>
                <w:rFonts w:ascii="Amiri" w:hAnsi="Amiri" w:cs="Amiri"/>
                <w:b/>
                <w:bCs/>
                <w:sz w:val="28"/>
                <w:szCs w:val="28"/>
                <w:rtl/>
              </w:rPr>
              <w:t>التجاور، الصوتي، السياق، الإمالة.</w:t>
            </w:r>
          </w:p>
        </w:tc>
      </w:tr>
      <w:tr w:rsidR="0092734F" w:rsidRPr="000C1AA2" w:rsidTr="0092734F">
        <w:trPr>
          <w:trHeight w:val="2376"/>
        </w:trPr>
        <w:tc>
          <w:tcPr>
            <w:tcW w:w="3356" w:type="dxa"/>
          </w:tcPr>
          <w:p w:rsidR="0092734F" w:rsidRPr="000C1AA2" w:rsidRDefault="0092734F" w:rsidP="0092734F">
            <w:pPr>
              <w:rPr>
                <w:rFonts w:ascii="Amiri" w:hAnsi="Amiri" w:cs="Amiri"/>
                <w:b/>
                <w:bCs/>
                <w:sz w:val="28"/>
                <w:szCs w:val="28"/>
                <w:rtl/>
              </w:rPr>
            </w:pPr>
            <w:r w:rsidRPr="000C1AA2">
              <w:rPr>
                <w:rFonts w:ascii="Amiri" w:hAnsi="Amiri" w:cs="Amiri" w:hint="cs"/>
                <w:b/>
                <w:bCs/>
                <w:sz w:val="28"/>
                <w:szCs w:val="28"/>
                <w:rtl/>
              </w:rPr>
              <w:lastRenderedPageBreak/>
              <w:t>5</w:t>
            </w:r>
            <w:proofErr w:type="gramStart"/>
            <w:r w:rsidRPr="000C1AA2">
              <w:rPr>
                <w:rFonts w:ascii="Amiri" w:hAnsi="Amiri" w:cs="Amiri" w:hint="cs"/>
                <w:b/>
                <w:bCs/>
                <w:sz w:val="28"/>
                <w:szCs w:val="28"/>
                <w:rtl/>
              </w:rPr>
              <w:t>-</w:t>
            </w:r>
            <w:r w:rsidRPr="000C1AA2">
              <w:rPr>
                <w:rFonts w:ascii="Amiri" w:hAnsi="Amiri" w:cs="Amiri"/>
                <w:b/>
                <w:bCs/>
                <w:sz w:val="28"/>
                <w:szCs w:val="28"/>
                <w:rtl/>
              </w:rPr>
              <w:t>(</w:t>
            </w:r>
            <w:proofErr w:type="gramEnd"/>
            <w:r w:rsidRPr="000C1AA2">
              <w:rPr>
                <w:rFonts w:ascii="Amiri" w:hAnsi="Amiri" w:cs="Amiri"/>
                <w:b/>
                <w:bCs/>
                <w:sz w:val="28"/>
                <w:szCs w:val="28"/>
                <w:rtl/>
              </w:rPr>
              <w:t>التأويل النحوي عند أبي حفص النسفي في كتابه "التيسير في التفسير") المرفوعات أنموذجًا</w:t>
            </w:r>
          </w:p>
          <w:p w:rsidR="0092734F" w:rsidRPr="000C1AA2" w:rsidRDefault="0092734F" w:rsidP="0092734F">
            <w:pPr>
              <w:rPr>
                <w:rFonts w:ascii="Amiri" w:hAnsi="Amiri" w:cs="Amiri"/>
                <w:b/>
                <w:bCs/>
                <w:sz w:val="28"/>
                <w:szCs w:val="28"/>
                <w:rtl/>
              </w:rPr>
            </w:pPr>
          </w:p>
        </w:tc>
        <w:tc>
          <w:tcPr>
            <w:tcW w:w="1315" w:type="dxa"/>
          </w:tcPr>
          <w:p w:rsidR="0092734F" w:rsidRPr="000C1AA2" w:rsidRDefault="0092734F" w:rsidP="00ED707C">
            <w:pPr>
              <w:jc w:val="center"/>
              <w:rPr>
                <w:rFonts w:ascii="Amiri" w:hAnsi="Amiri" w:cs="Amiri"/>
                <w:b/>
                <w:bCs/>
                <w:sz w:val="28"/>
                <w:szCs w:val="28"/>
                <w:rtl/>
              </w:rPr>
            </w:pPr>
            <w:r w:rsidRPr="000C1AA2">
              <w:rPr>
                <w:rFonts w:ascii="Amiri" w:hAnsi="Amiri" w:cs="Amiri"/>
                <w:b/>
                <w:bCs/>
                <w:sz w:val="28"/>
                <w:szCs w:val="28"/>
                <w:rtl/>
              </w:rPr>
              <w:t xml:space="preserve">م.م. عبد العظيم قيس هادي                                       </w:t>
            </w:r>
          </w:p>
          <w:p w:rsidR="0092734F" w:rsidRPr="000C1AA2" w:rsidRDefault="0092734F" w:rsidP="00ED707C">
            <w:pPr>
              <w:jc w:val="center"/>
              <w:rPr>
                <w:rFonts w:ascii="Amiri" w:hAnsi="Amiri" w:cs="Amiri"/>
                <w:b/>
                <w:bCs/>
                <w:sz w:val="28"/>
                <w:szCs w:val="28"/>
                <w:rtl/>
              </w:rPr>
            </w:pPr>
            <w:r w:rsidRPr="000C1AA2">
              <w:rPr>
                <w:rFonts w:ascii="Amiri" w:hAnsi="Amiri" w:cs="Amiri"/>
                <w:b/>
                <w:bCs/>
                <w:sz w:val="28"/>
                <w:szCs w:val="28"/>
                <w:rtl/>
              </w:rPr>
              <w:t>أ.د. علي حسين خضير</w:t>
            </w:r>
          </w:p>
        </w:tc>
        <w:tc>
          <w:tcPr>
            <w:tcW w:w="2773" w:type="dxa"/>
          </w:tcPr>
          <w:p w:rsidR="0092734F" w:rsidRPr="000C1AA2" w:rsidRDefault="0092734F" w:rsidP="00ED707C">
            <w:pPr>
              <w:jc w:val="center"/>
              <w:rPr>
                <w:rFonts w:ascii="Amiri" w:hAnsi="Amiri" w:cs="Amiri"/>
                <w:b/>
                <w:bCs/>
                <w:sz w:val="28"/>
                <w:szCs w:val="28"/>
                <w:rtl/>
              </w:rPr>
            </w:pPr>
            <w:r w:rsidRPr="000C1AA2">
              <w:rPr>
                <w:rFonts w:ascii="Amiri" w:hAnsi="Amiri" w:cs="Amiri"/>
                <w:b/>
                <w:bCs/>
                <w:sz w:val="28"/>
                <w:szCs w:val="28"/>
                <w:rtl/>
              </w:rPr>
              <w:t>تأريخ النشر: 2023، مكان النشر: مجلة جامعة المعارف (العدد: 2، المجلد:34)</w:t>
            </w:r>
          </w:p>
        </w:tc>
        <w:tc>
          <w:tcPr>
            <w:tcW w:w="2595" w:type="dxa"/>
          </w:tcPr>
          <w:p w:rsidR="0092734F" w:rsidRPr="000C1AA2" w:rsidRDefault="0092734F" w:rsidP="00ED707C">
            <w:pPr>
              <w:jc w:val="center"/>
              <w:rPr>
                <w:rFonts w:ascii="Amiri" w:hAnsi="Amiri" w:cs="Amiri"/>
                <w:b/>
                <w:bCs/>
                <w:sz w:val="28"/>
                <w:szCs w:val="28"/>
                <w:rtl/>
              </w:rPr>
            </w:pPr>
            <w:r w:rsidRPr="000C1AA2">
              <w:rPr>
                <w:rFonts w:ascii="Amiri" w:hAnsi="Amiri" w:cs="Amiri"/>
                <w:b/>
                <w:bCs/>
                <w:sz w:val="28"/>
                <w:szCs w:val="28"/>
                <w:rtl/>
              </w:rPr>
              <w:t xml:space="preserve">        تتغيا هذه الدراسة التّعرف إلى (التأويل النّحوي عند الإمام عمر بن محمد أبي حفص النّسفي (ت 537 هـ) في كتابه: (التيسير في التّفسير المرفوعات أنموذجًا)، وتسليط الضّوء على منهجيته المميّزة التي اتّبعها في كتابه وبيان مدى استيعاب هذا التّفسير للتأويل النّحوي، وأثره في توجيه المعنى، </w:t>
            </w:r>
            <w:r w:rsidRPr="000C1AA2">
              <w:rPr>
                <w:rFonts w:ascii="Amiri" w:hAnsi="Amiri" w:cs="Amiri"/>
                <w:b/>
                <w:bCs/>
                <w:sz w:val="28"/>
                <w:szCs w:val="28"/>
                <w:rtl/>
              </w:rPr>
              <w:lastRenderedPageBreak/>
              <w:t>فضلًا عن القيمة التي يظهرها هذا الجانب في التّفسير، إذ يستعرض أبو حفص النّسفي في كتابه الكثير من القراءات القرآنية التي وردت عن علماء القراءات؛ فضلًا عن تأويله النّحوي لهذه القراءات، ولتحقيق الغاية من هذه الدراسة فقد جاء مسارها مقسّم على مسائل تسبقها مقدمة، وتعقبها جملة من الأمور نحسبها على جانب من الأهمية سطّرناها تحت عنوان: أهم النتائج.</w:t>
            </w:r>
          </w:p>
          <w:p w:rsidR="00F149AC" w:rsidRPr="000C1AA2" w:rsidRDefault="00F149AC" w:rsidP="00ED707C">
            <w:pPr>
              <w:jc w:val="center"/>
              <w:rPr>
                <w:rFonts w:ascii="Amiri" w:hAnsi="Amiri" w:cs="Amiri"/>
                <w:b/>
                <w:bCs/>
                <w:sz w:val="28"/>
                <w:szCs w:val="28"/>
                <w:rtl/>
              </w:rPr>
            </w:pPr>
            <w:r w:rsidRPr="000C1AA2">
              <w:rPr>
                <w:rFonts w:ascii="Amiri" w:hAnsi="Amiri" w:cs="Amiri"/>
                <w:b/>
                <w:bCs/>
                <w:color w:val="FF0000"/>
                <w:sz w:val="28"/>
                <w:szCs w:val="28"/>
                <w:rtl/>
              </w:rPr>
              <w:t xml:space="preserve">الكلمات المفتاحية: </w:t>
            </w:r>
            <w:r w:rsidRPr="000C1AA2">
              <w:rPr>
                <w:rFonts w:ascii="Amiri" w:hAnsi="Amiri" w:cs="Amiri"/>
                <w:b/>
                <w:bCs/>
                <w:sz w:val="28"/>
                <w:szCs w:val="28"/>
                <w:rtl/>
              </w:rPr>
              <w:t>التأويل، النحوي، التيسير، التفسير، النسفي.</w:t>
            </w:r>
          </w:p>
        </w:tc>
      </w:tr>
      <w:tr w:rsidR="0092734F" w:rsidRPr="000C1AA2" w:rsidTr="0092734F">
        <w:trPr>
          <w:trHeight w:val="2376"/>
        </w:trPr>
        <w:tc>
          <w:tcPr>
            <w:tcW w:w="3356" w:type="dxa"/>
          </w:tcPr>
          <w:p w:rsidR="00F149AC" w:rsidRPr="000C1AA2" w:rsidRDefault="0092734F" w:rsidP="00F149AC">
            <w:pPr>
              <w:rPr>
                <w:rFonts w:ascii="Amiri" w:hAnsi="Amiri" w:cs="Amiri"/>
                <w:b/>
                <w:bCs/>
                <w:sz w:val="28"/>
                <w:szCs w:val="28"/>
                <w:rtl/>
              </w:rPr>
            </w:pPr>
            <w:r w:rsidRPr="000C1AA2">
              <w:rPr>
                <w:rFonts w:ascii="Amiri" w:hAnsi="Amiri" w:cs="Amiri" w:hint="cs"/>
                <w:b/>
                <w:bCs/>
                <w:sz w:val="28"/>
                <w:szCs w:val="28"/>
                <w:rtl/>
              </w:rPr>
              <w:lastRenderedPageBreak/>
              <w:t>6-</w:t>
            </w:r>
            <w:r w:rsidR="00F149AC" w:rsidRPr="000C1AA2">
              <w:rPr>
                <w:b/>
                <w:bCs/>
                <w:rtl/>
              </w:rPr>
              <w:t xml:space="preserve"> </w:t>
            </w:r>
            <w:r w:rsidR="00F149AC" w:rsidRPr="000C1AA2">
              <w:rPr>
                <w:rFonts w:ascii="Amiri" w:hAnsi="Amiri" w:cs="Amiri"/>
                <w:b/>
                <w:bCs/>
                <w:sz w:val="28"/>
                <w:szCs w:val="28"/>
                <w:rtl/>
              </w:rPr>
              <w:t>العلامة اللغوية "</w:t>
            </w:r>
            <w:r w:rsidR="00F149AC" w:rsidRPr="000C1AA2">
              <w:rPr>
                <w:rFonts w:ascii="Amiri" w:hAnsi="Amiri" w:cs="Amiri"/>
                <w:b/>
                <w:bCs/>
                <w:sz w:val="28"/>
                <w:szCs w:val="28"/>
              </w:rPr>
              <w:t>Semiology</w:t>
            </w:r>
            <w:r w:rsidR="00F149AC" w:rsidRPr="000C1AA2">
              <w:rPr>
                <w:rFonts w:ascii="Amiri" w:hAnsi="Amiri" w:cs="Amiri"/>
                <w:b/>
                <w:bCs/>
                <w:sz w:val="28"/>
                <w:szCs w:val="28"/>
                <w:rtl/>
              </w:rPr>
              <w:t>" وأثرها في كبح الإرعاب والتطرف</w:t>
            </w:r>
          </w:p>
          <w:p w:rsidR="0092734F" w:rsidRPr="000C1AA2" w:rsidRDefault="00F149AC" w:rsidP="00F149AC">
            <w:pPr>
              <w:jc w:val="center"/>
              <w:rPr>
                <w:rFonts w:ascii="Amiri" w:hAnsi="Amiri" w:cs="Amiri"/>
                <w:b/>
                <w:bCs/>
                <w:sz w:val="28"/>
                <w:szCs w:val="28"/>
                <w:rtl/>
              </w:rPr>
            </w:pPr>
            <w:r w:rsidRPr="000C1AA2">
              <w:rPr>
                <w:rFonts w:ascii="Amiri" w:hAnsi="Amiri" w:cs="Amiri"/>
                <w:b/>
                <w:bCs/>
                <w:sz w:val="28"/>
                <w:szCs w:val="28"/>
                <w:rtl/>
              </w:rPr>
              <w:t>"الرسائل الإشهارية" أنموذجًا</w:t>
            </w:r>
          </w:p>
        </w:tc>
        <w:tc>
          <w:tcPr>
            <w:tcW w:w="1315" w:type="dxa"/>
          </w:tcPr>
          <w:p w:rsidR="0092734F" w:rsidRPr="000C1AA2" w:rsidRDefault="0092734F" w:rsidP="00ED707C">
            <w:pPr>
              <w:jc w:val="center"/>
              <w:rPr>
                <w:rFonts w:ascii="Amiri" w:hAnsi="Amiri" w:cs="Amiri"/>
                <w:b/>
                <w:bCs/>
                <w:sz w:val="28"/>
                <w:szCs w:val="28"/>
                <w:rtl/>
              </w:rPr>
            </w:pPr>
            <w:r w:rsidRPr="000C1AA2">
              <w:rPr>
                <w:rFonts w:ascii="Amiri" w:hAnsi="Amiri" w:cs="Amiri"/>
                <w:b/>
                <w:bCs/>
                <w:sz w:val="28"/>
                <w:szCs w:val="28"/>
                <w:rtl/>
              </w:rPr>
              <w:t>أ.د. علي حسين خضير</w:t>
            </w:r>
          </w:p>
        </w:tc>
        <w:tc>
          <w:tcPr>
            <w:tcW w:w="2773" w:type="dxa"/>
          </w:tcPr>
          <w:p w:rsidR="0092734F" w:rsidRPr="000C1AA2" w:rsidRDefault="00F149AC" w:rsidP="00ED707C">
            <w:pPr>
              <w:jc w:val="center"/>
              <w:rPr>
                <w:rFonts w:ascii="Amiri" w:hAnsi="Amiri" w:cs="Amiri"/>
                <w:b/>
                <w:bCs/>
                <w:sz w:val="28"/>
                <w:szCs w:val="28"/>
                <w:rtl/>
              </w:rPr>
            </w:pPr>
            <w:r w:rsidRPr="000C1AA2">
              <w:rPr>
                <w:rFonts w:ascii="Amiri" w:hAnsi="Amiri" w:cs="Amiri"/>
                <w:b/>
                <w:bCs/>
                <w:sz w:val="28"/>
                <w:szCs w:val="28"/>
                <w:rtl/>
              </w:rPr>
              <w:t>تأريخ النشر: كانون الأول 2024، مكان النشر: مجلة ديالى للبحوث الإنسانية/ (العدد: 102، المجلد:1)</w:t>
            </w:r>
          </w:p>
        </w:tc>
        <w:tc>
          <w:tcPr>
            <w:tcW w:w="2595" w:type="dxa"/>
          </w:tcPr>
          <w:p w:rsidR="00F149AC" w:rsidRPr="000C1AA2" w:rsidRDefault="00F149AC" w:rsidP="00F149AC">
            <w:pPr>
              <w:jc w:val="center"/>
              <w:rPr>
                <w:rFonts w:ascii="Amiri" w:hAnsi="Amiri" w:cs="Amiri"/>
                <w:b/>
                <w:bCs/>
                <w:sz w:val="28"/>
                <w:szCs w:val="28"/>
                <w:rtl/>
              </w:rPr>
            </w:pPr>
            <w:r w:rsidRPr="000C1AA2">
              <w:rPr>
                <w:rFonts w:ascii="Amiri" w:hAnsi="Amiri" w:cs="Amiri"/>
                <w:b/>
                <w:bCs/>
                <w:sz w:val="28"/>
                <w:szCs w:val="28"/>
                <w:rtl/>
              </w:rPr>
              <w:t xml:space="preserve">تسعى هذه الدراسة إلى إظهار القيمة التواصلية للرسائل الإشهارية المصطنعة، وأثرها في ردع النفوس عن السلوكيات المجتمعية الذميمة؛ إذ غدت هذا الرسائل من الأشكال الرئيسة في </w:t>
            </w:r>
            <w:r w:rsidRPr="000C1AA2">
              <w:rPr>
                <w:rFonts w:ascii="Amiri" w:hAnsi="Amiri" w:cs="Amiri"/>
                <w:b/>
                <w:bCs/>
                <w:sz w:val="28"/>
                <w:szCs w:val="28"/>
                <w:rtl/>
              </w:rPr>
              <w:lastRenderedPageBreak/>
              <w:t xml:space="preserve">الاستعمال اليومي ولم تكن سبهللًا، بل أخذت حيزًا مهيعًا، وصارت جزءًا لا ينفك عن ممارساتنا الثقافية اليومية بوصفها خطابًا لسانيًا يُقضى في ظروف محددة بغية استمالة ذهن المتلقي. ولا يخفى على حصيف أنّ هذه الرسائل عمومًا لا تروم النفوذ والتأثير بالإقناع القائم على الإثبات والأدلة فحسب، وإنما تتسلل لواذًا إلى المشاعر التي تستميلها والاحتدام النفسي الذي يعتري المخاطَب، ولعلّ ما اسْتَحَثّنا إلى إسبار غِيران هذه الدراسة الإحساس بالوَجَل مما يكمُن في هذا النوع من الرسائل(سلبًا وإيجابًا) بوصفها طائلة وسطوة قوية صارت تستميلنا وتستهوينا، والأنكى من ذلك أنّها تسوّرت القيم والسلوكيات والمظاهر والانتقاءات نفوذًا، فضلًا </w:t>
            </w:r>
            <w:r w:rsidRPr="000C1AA2">
              <w:rPr>
                <w:rFonts w:ascii="Amiri" w:hAnsi="Amiri" w:cs="Amiri"/>
                <w:b/>
                <w:bCs/>
                <w:sz w:val="28"/>
                <w:szCs w:val="28"/>
                <w:rtl/>
              </w:rPr>
              <w:lastRenderedPageBreak/>
              <w:t xml:space="preserve">عمّا تخلِّفه من نشوى داخلية تغري المتلقي في التّطامن للرسالة، ولا غرو في ذلك؛ لأنّ النفعيين قد اتخذوا إستراتيجيات للإشهار استطاعوا نيل مبتغاهم، ونظرًا إلى اختلاف الأنماط التي تحيل إليها الرسائل الإشهارية فإن موضوع بحثنا سيكون مقتصرًا على اللوازق الثابتة سواء الإلكترونية أو الملصقات الورقية؛ لما تستوعبه من مزايا وإمكانات توعوية يمكنها تأدية وظيفتها التواصلية على أمثل وجه. ولعلّ من أهم النتائج التي رشحت بنظرة مستوفزة إلى الرسائل الإشهارية أنّها خطاب انبثق نتيجة التحولات الواقعية للمجتمع، وهي في حقيقتها لغة تواصلية تضم دلالات ثقافية، صيغت ابتغاء استهداف المتلقي وتحمل أمرًا محددًا، تغريه </w:t>
            </w:r>
            <w:r w:rsidRPr="000C1AA2">
              <w:rPr>
                <w:rFonts w:ascii="Amiri" w:hAnsi="Amiri" w:cs="Amiri"/>
                <w:b/>
                <w:bCs/>
                <w:sz w:val="28"/>
                <w:szCs w:val="28"/>
                <w:rtl/>
              </w:rPr>
              <w:lastRenderedPageBreak/>
              <w:t xml:space="preserve">عوامل معيّنة؛ لذا جلّ اهتمام المرسِل في الإستراتيجية الإشارية هو استقطاب المتلقي ورضاه بما تحتجنه رسالته دون الازورار إلى غيره. فضلًا عن أنّ المنهج المتخذ من البلاغة والتداول نجد أنّهما لا يكونان على منوال واحد من حيث التأسيس والإجراء بيد أنّهما يبدوان على لاحِبٍ واحد في التأثير والإقناع من منظور تداولي؛ لذا نرى أنّ الرسائل الإشهارية التي تتخذ من السجع والجناس مسارًا لها يكون هدفها الأسمى لفت النظر والانتباه، وإسبار المُشْهَر في عقل المتلقي لتحقيق الأثر المبتغى بكل دلالاته؛ لذا نجد أنّ الرسائل الإشهارية لها أثر تام وبالغٌ في مكافحة التطرف الفكري وذلك في ضوء ما تؤديه من وظائف تعبيرية ترشد إلى السبيل </w:t>
            </w:r>
            <w:r w:rsidRPr="000C1AA2">
              <w:rPr>
                <w:rFonts w:ascii="Amiri" w:hAnsi="Amiri" w:cs="Amiri"/>
                <w:b/>
                <w:bCs/>
                <w:sz w:val="28"/>
                <w:szCs w:val="28"/>
                <w:rtl/>
              </w:rPr>
              <w:lastRenderedPageBreak/>
              <w:t>الصحيح وكبح النفس عن القناعات السلبية التي تكون الأسّ في ترسيخ الغلو المؤدي إلى الإرعاب، لذا ثبّ أمر الدراسة في مبحثين تسبقهما مقدمة وتعقبهما خاتمة تضم أهم النتائج.</w:t>
            </w:r>
          </w:p>
          <w:p w:rsidR="0092734F" w:rsidRPr="000C1AA2" w:rsidRDefault="00F149AC" w:rsidP="00F149AC">
            <w:pPr>
              <w:jc w:val="center"/>
              <w:rPr>
                <w:rFonts w:ascii="Amiri" w:hAnsi="Amiri" w:cs="Amiri"/>
                <w:b/>
                <w:bCs/>
                <w:sz w:val="28"/>
                <w:szCs w:val="28"/>
                <w:rtl/>
              </w:rPr>
            </w:pPr>
            <w:r w:rsidRPr="000C1AA2">
              <w:rPr>
                <w:rFonts w:ascii="Amiri" w:hAnsi="Amiri" w:cs="Amiri"/>
                <w:b/>
                <w:bCs/>
                <w:color w:val="FF0000"/>
                <w:sz w:val="28"/>
                <w:szCs w:val="28"/>
                <w:rtl/>
              </w:rPr>
              <w:t xml:space="preserve">الكلمات المفتاحية: </w:t>
            </w:r>
            <w:r w:rsidRPr="000C1AA2">
              <w:rPr>
                <w:rFonts w:ascii="Amiri" w:hAnsi="Amiri" w:cs="Amiri"/>
                <w:b/>
                <w:bCs/>
                <w:sz w:val="28"/>
                <w:szCs w:val="28"/>
                <w:rtl/>
              </w:rPr>
              <w:t>العلامة، اللسانيات، الرسائل الإشهارية.</w:t>
            </w:r>
          </w:p>
        </w:tc>
      </w:tr>
    </w:tbl>
    <w:p w:rsidR="00892234" w:rsidRPr="000C1AA2" w:rsidRDefault="00892234" w:rsidP="00ED707C">
      <w:pPr>
        <w:jc w:val="center"/>
        <w:rPr>
          <w:rFonts w:ascii="Amiri" w:hAnsi="Amiri" w:cs="Amiri"/>
          <w:b/>
          <w:bCs/>
          <w:sz w:val="28"/>
          <w:szCs w:val="28"/>
        </w:rPr>
      </w:pPr>
    </w:p>
    <w:sectPr w:rsidR="00892234" w:rsidRPr="000C1AA2" w:rsidSect="004F6365">
      <w:headerReference w:type="default" r:id="rId6"/>
      <w:pgSz w:w="11906" w:h="16838"/>
      <w:pgMar w:top="1440" w:right="1418" w:bottom="1440" w:left="1418"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AE9" w:rsidRDefault="00044AE9" w:rsidP="004C4D28">
      <w:pPr>
        <w:spacing w:after="0" w:line="240" w:lineRule="auto"/>
      </w:pPr>
      <w:r>
        <w:separator/>
      </w:r>
    </w:p>
  </w:endnote>
  <w:endnote w:type="continuationSeparator" w:id="0">
    <w:p w:rsidR="00044AE9" w:rsidRDefault="00044AE9" w:rsidP="004C4D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iri">
    <w:panose1 w:val="00000500000000000000"/>
    <w:charset w:val="00"/>
    <w:family w:val="auto"/>
    <w:pitch w:val="variable"/>
    <w:sig w:usb0="A000206F" w:usb1="82002042"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AE9" w:rsidRDefault="00044AE9" w:rsidP="004C4D28">
      <w:pPr>
        <w:spacing w:after="0" w:line="240" w:lineRule="auto"/>
      </w:pPr>
      <w:r>
        <w:separator/>
      </w:r>
    </w:p>
  </w:footnote>
  <w:footnote w:type="continuationSeparator" w:id="0">
    <w:p w:rsidR="00044AE9" w:rsidRDefault="00044AE9" w:rsidP="004C4D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F0" w:rsidRDefault="007711F0" w:rsidP="0092734F">
    <w:pPr>
      <w:pStyle w:val="a6"/>
      <w:jc w:val="center"/>
      <w:rPr>
        <w:rFonts w:ascii="Amiri" w:hAnsi="Amiri" w:cs="Amiri"/>
        <w:b/>
        <w:bCs/>
        <w:color w:val="FF0000"/>
        <w:sz w:val="28"/>
        <w:szCs w:val="28"/>
        <w:rtl/>
        <w:lang w:bidi="ar-IQ"/>
      </w:rPr>
    </w:pPr>
    <w:r w:rsidRPr="00ED707C">
      <w:rPr>
        <w:rFonts w:ascii="Amiri" w:hAnsi="Amiri" w:cs="Amiri"/>
        <w:b/>
        <w:bCs/>
        <w:color w:val="FF0000"/>
        <w:sz w:val="28"/>
        <w:szCs w:val="28"/>
        <w:rtl/>
        <w:lang w:bidi="ar-IQ"/>
      </w:rPr>
      <w:t>البحوث ال</w:t>
    </w:r>
    <w:r w:rsidR="00ED707C" w:rsidRPr="00ED707C">
      <w:rPr>
        <w:rFonts w:ascii="Amiri" w:hAnsi="Amiri" w:cs="Amiri"/>
        <w:b/>
        <w:bCs/>
        <w:color w:val="FF0000"/>
        <w:sz w:val="28"/>
        <w:szCs w:val="28"/>
        <w:rtl/>
        <w:lang w:bidi="ar-IQ"/>
      </w:rPr>
      <w:t>منشورة</w:t>
    </w:r>
    <w:r w:rsidR="0092734F">
      <w:rPr>
        <w:rFonts w:ascii="Amiri" w:hAnsi="Amiri" w:cs="Amiri" w:hint="cs"/>
        <w:b/>
        <w:bCs/>
        <w:color w:val="FF0000"/>
        <w:sz w:val="28"/>
        <w:szCs w:val="28"/>
        <w:rtl/>
        <w:lang w:bidi="ar-IQ"/>
      </w:rPr>
      <w:t xml:space="preserve"> </w:t>
    </w:r>
    <w:r w:rsidRPr="00ED707C">
      <w:rPr>
        <w:rFonts w:ascii="Amiri" w:hAnsi="Amiri" w:cs="Amiri"/>
        <w:b/>
        <w:bCs/>
        <w:color w:val="FF0000"/>
        <w:sz w:val="28"/>
        <w:szCs w:val="28"/>
        <w:rtl/>
        <w:lang w:bidi="ar-IQ"/>
      </w:rPr>
      <w:t>من 2022-2024</w:t>
    </w:r>
    <w:r w:rsidR="0092734F">
      <w:rPr>
        <w:rFonts w:ascii="Amiri" w:hAnsi="Amiri" w:cs="Amiri" w:hint="cs"/>
        <w:b/>
        <w:bCs/>
        <w:color w:val="FF0000"/>
        <w:sz w:val="28"/>
        <w:szCs w:val="28"/>
        <w:rtl/>
        <w:lang w:bidi="ar-IQ"/>
      </w:rPr>
      <w:t xml:space="preserve"> للباحث</w:t>
    </w:r>
  </w:p>
  <w:p w:rsidR="0092734F" w:rsidRPr="0092734F" w:rsidRDefault="0092734F" w:rsidP="0092734F">
    <w:pPr>
      <w:pStyle w:val="a6"/>
      <w:jc w:val="center"/>
      <w:rPr>
        <w:rFonts w:ascii="Amiri" w:hAnsi="Amiri" w:cs="Amiri"/>
        <w:b/>
        <w:bCs/>
        <w:color w:val="000000" w:themeColor="text1"/>
        <w:sz w:val="28"/>
        <w:szCs w:val="28"/>
        <w:rtl/>
        <w:lang w:bidi="ar-IQ"/>
      </w:rPr>
    </w:pPr>
    <w:r w:rsidRPr="0092734F">
      <w:rPr>
        <w:rFonts w:ascii="Amiri" w:hAnsi="Amiri" w:cs="Amiri"/>
        <w:b/>
        <w:bCs/>
        <w:color w:val="000000" w:themeColor="text1"/>
        <w:sz w:val="28"/>
        <w:szCs w:val="28"/>
        <w:rtl/>
        <w:lang w:bidi="ar-IQ"/>
      </w:rPr>
      <w:t>أ.د. علي حسين خضير الشمري</w:t>
    </w:r>
  </w:p>
  <w:p w:rsidR="0092734F" w:rsidRPr="0092734F" w:rsidRDefault="0092734F" w:rsidP="0092734F">
    <w:pPr>
      <w:pStyle w:val="a6"/>
      <w:jc w:val="center"/>
      <w:rPr>
        <w:rFonts w:ascii="Amiri" w:hAnsi="Amiri" w:cs="Amiri"/>
        <w:b/>
        <w:bCs/>
        <w:color w:val="000000" w:themeColor="text1"/>
        <w:sz w:val="28"/>
        <w:szCs w:val="28"/>
        <w:lang w:bidi="ar-IQ"/>
      </w:rPr>
    </w:pPr>
    <w:r w:rsidRPr="0092734F">
      <w:rPr>
        <w:rFonts w:ascii="Amiri" w:hAnsi="Amiri" w:cs="Amiri"/>
        <w:b/>
        <w:bCs/>
        <w:color w:val="000000" w:themeColor="text1"/>
        <w:sz w:val="28"/>
        <w:szCs w:val="28"/>
        <w:lang w:bidi="ar-IQ"/>
      </w:rPr>
      <w:t>Khudhair.udhair@uoanbar.edu.iq</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6F0"/>
    <w:rsid w:val="00044AE9"/>
    <w:rsid w:val="000C1AA2"/>
    <w:rsid w:val="00236861"/>
    <w:rsid w:val="002B7C2D"/>
    <w:rsid w:val="00473F6A"/>
    <w:rsid w:val="004C4D28"/>
    <w:rsid w:val="004F6365"/>
    <w:rsid w:val="00650F7A"/>
    <w:rsid w:val="007711F0"/>
    <w:rsid w:val="00892234"/>
    <w:rsid w:val="0092734F"/>
    <w:rsid w:val="009976F0"/>
    <w:rsid w:val="00B83F51"/>
    <w:rsid w:val="00CD798B"/>
    <w:rsid w:val="00D17DD7"/>
    <w:rsid w:val="00DA7C98"/>
    <w:rsid w:val="00E23389"/>
    <w:rsid w:val="00EC3C36"/>
    <w:rsid w:val="00ED707C"/>
    <w:rsid w:val="00F149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B28203-901E-4933-B1C1-A18C422F4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6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Char"/>
    <w:uiPriority w:val="99"/>
    <w:semiHidden/>
    <w:unhideWhenUsed/>
    <w:rsid w:val="004C4D28"/>
    <w:pPr>
      <w:spacing w:after="0" w:line="240" w:lineRule="auto"/>
    </w:pPr>
    <w:rPr>
      <w:sz w:val="20"/>
      <w:szCs w:val="20"/>
    </w:rPr>
  </w:style>
  <w:style w:type="character" w:customStyle="1" w:styleId="Char">
    <w:name w:val="نص حاشية سفلية Char"/>
    <w:basedOn w:val="a0"/>
    <w:link w:val="a4"/>
    <w:uiPriority w:val="99"/>
    <w:semiHidden/>
    <w:rsid w:val="004C4D28"/>
    <w:rPr>
      <w:sz w:val="20"/>
      <w:szCs w:val="20"/>
    </w:rPr>
  </w:style>
  <w:style w:type="character" w:styleId="a5">
    <w:name w:val="footnote reference"/>
    <w:basedOn w:val="a0"/>
    <w:uiPriority w:val="99"/>
    <w:semiHidden/>
    <w:unhideWhenUsed/>
    <w:rsid w:val="004C4D28"/>
    <w:rPr>
      <w:vertAlign w:val="superscript"/>
    </w:rPr>
  </w:style>
  <w:style w:type="paragraph" w:styleId="a6">
    <w:name w:val="header"/>
    <w:basedOn w:val="a"/>
    <w:link w:val="Char0"/>
    <w:uiPriority w:val="99"/>
    <w:unhideWhenUsed/>
    <w:rsid w:val="007711F0"/>
    <w:pPr>
      <w:tabs>
        <w:tab w:val="center" w:pos="4153"/>
        <w:tab w:val="right" w:pos="8306"/>
      </w:tabs>
      <w:spacing w:after="0" w:line="240" w:lineRule="auto"/>
    </w:pPr>
  </w:style>
  <w:style w:type="character" w:customStyle="1" w:styleId="Char0">
    <w:name w:val="رأس الصفحة Char"/>
    <w:basedOn w:val="a0"/>
    <w:link w:val="a6"/>
    <w:uiPriority w:val="99"/>
    <w:rsid w:val="007711F0"/>
  </w:style>
  <w:style w:type="paragraph" w:styleId="a7">
    <w:name w:val="footer"/>
    <w:basedOn w:val="a"/>
    <w:link w:val="Char1"/>
    <w:uiPriority w:val="99"/>
    <w:unhideWhenUsed/>
    <w:rsid w:val="007711F0"/>
    <w:pPr>
      <w:tabs>
        <w:tab w:val="center" w:pos="4153"/>
        <w:tab w:val="right" w:pos="8306"/>
      </w:tabs>
      <w:spacing w:after="0" w:line="240" w:lineRule="auto"/>
    </w:pPr>
  </w:style>
  <w:style w:type="character" w:customStyle="1" w:styleId="Char1">
    <w:name w:val="تذييل الصفحة Char"/>
    <w:basedOn w:val="a0"/>
    <w:link w:val="a7"/>
    <w:uiPriority w:val="99"/>
    <w:rsid w:val="00771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10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14</Pages>
  <Words>1334</Words>
  <Characters>7606</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Dr.Ali</cp:lastModifiedBy>
  <cp:revision>6</cp:revision>
  <dcterms:created xsi:type="dcterms:W3CDTF">2025-01-14T06:13:00Z</dcterms:created>
  <dcterms:modified xsi:type="dcterms:W3CDTF">2025-01-20T11:39:00Z</dcterms:modified>
</cp:coreProperties>
</file>